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rPr>
        <w:id w:val="-230162783"/>
        <w:docPartObj>
          <w:docPartGallery w:val="Cover Pages"/>
          <w:docPartUnique/>
        </w:docPartObj>
      </w:sdtPr>
      <w:sdtEndPr>
        <w:rPr>
          <w:rFonts w:eastAsiaTheme="majorEastAsia"/>
          <w:b/>
          <w:bCs/>
          <w:color w:val="0B5294" w:themeColor="accent1" w:themeShade="BF"/>
          <w:sz w:val="28"/>
          <w:szCs w:val="28"/>
        </w:rPr>
      </w:sdtEndPr>
      <w:sdtContent>
        <w:tbl>
          <w:tblPr>
            <w:tblpPr w:leftFromText="187" w:rightFromText="187" w:vertAnchor="page" w:horzAnchor="page" w:tblpYSpec="top"/>
            <w:tblW w:w="12049" w:type="dxa"/>
            <w:tblLook w:val="04A0" w:firstRow="1" w:lastRow="0" w:firstColumn="1" w:lastColumn="0" w:noHBand="0" w:noVBand="1"/>
          </w:tblPr>
          <w:tblGrid>
            <w:gridCol w:w="581"/>
            <w:gridCol w:w="4997"/>
            <w:gridCol w:w="6471"/>
          </w:tblGrid>
          <w:tr w:rsidR="006E63E6" w:rsidRPr="006D725B" w14:paraId="39099480" w14:textId="77777777" w:rsidTr="003742BD">
            <w:trPr>
              <w:trHeight w:val="147"/>
            </w:trPr>
            <w:tc>
              <w:tcPr>
                <w:tcW w:w="581" w:type="dxa"/>
                <w:shd w:val="clear" w:color="auto" w:fill="0075A2" w:themeFill="accent2" w:themeFillShade="BF"/>
              </w:tcPr>
              <w:p w14:paraId="3909947C" w14:textId="77777777" w:rsidR="006E63E6" w:rsidRPr="006D725B" w:rsidRDefault="006E63E6">
                <w:pPr>
                  <w:rPr>
                    <w:rFonts w:ascii="Arial" w:hAnsi="Arial" w:cs="Arial"/>
                  </w:rPr>
                </w:pPr>
              </w:p>
            </w:tc>
            <w:tc>
              <w:tcPr>
                <w:tcW w:w="11468" w:type="dxa"/>
                <w:gridSpan w:val="2"/>
                <w:shd w:val="clear" w:color="auto" w:fill="0075A2" w:themeFill="accent2" w:themeFillShade="BF"/>
                <w:vAlign w:val="bottom"/>
              </w:tcPr>
              <w:p w14:paraId="3909947D" w14:textId="77777777" w:rsidR="006C0BA1" w:rsidRPr="006C0BA1" w:rsidRDefault="006C0BA1" w:rsidP="00210551">
                <w:pPr>
                  <w:pStyle w:val="NoSpacing"/>
                  <w:rPr>
                    <w:rFonts w:ascii="Arial" w:eastAsiaTheme="majorEastAsia" w:hAnsi="Arial" w:cs="Arial"/>
                    <w:b/>
                    <w:bCs/>
                    <w:color w:val="FFFFFF" w:themeColor="background1"/>
                    <w:sz w:val="20"/>
                    <w:szCs w:val="20"/>
                  </w:rPr>
                </w:pPr>
              </w:p>
              <w:p w14:paraId="3909947E" w14:textId="77777777" w:rsidR="005638CF" w:rsidRDefault="003742BD" w:rsidP="00210551">
                <w:pPr>
                  <w:pStyle w:val="NoSpacing"/>
                  <w:rPr>
                    <w:rFonts w:ascii="Arial" w:eastAsiaTheme="majorEastAsia" w:hAnsi="Arial" w:cs="Arial"/>
                    <w:b/>
                    <w:bCs/>
                    <w:color w:val="FFFFFF" w:themeColor="background1"/>
                    <w:sz w:val="72"/>
                    <w:szCs w:val="72"/>
                  </w:rPr>
                </w:pPr>
                <w:r>
                  <w:rPr>
                    <w:rFonts w:ascii="Arial" w:eastAsiaTheme="majorEastAsia" w:hAnsi="Arial" w:cs="Arial"/>
                    <w:b/>
                    <w:bCs/>
                    <w:color w:val="FFFFFF" w:themeColor="background1"/>
                    <w:sz w:val="72"/>
                    <w:szCs w:val="72"/>
                  </w:rPr>
                  <w:t>NEW SOURCE</w:t>
                </w:r>
                <w:r w:rsidR="008B5D45">
                  <w:rPr>
                    <w:rFonts w:ascii="Arial" w:eastAsiaTheme="majorEastAsia" w:hAnsi="Arial" w:cs="Arial"/>
                    <w:b/>
                    <w:bCs/>
                    <w:color w:val="FFFFFF" w:themeColor="background1"/>
                    <w:sz w:val="72"/>
                    <w:szCs w:val="72"/>
                  </w:rPr>
                  <w:t xml:space="preserve"> </w:t>
                </w:r>
              </w:p>
              <w:p w14:paraId="3909947F" w14:textId="77777777" w:rsidR="006E63E6" w:rsidRPr="006D725B" w:rsidRDefault="008B5D45" w:rsidP="00210551">
                <w:pPr>
                  <w:pStyle w:val="NoSpacing"/>
                  <w:rPr>
                    <w:rFonts w:ascii="Arial" w:eastAsiaTheme="majorEastAsia" w:hAnsi="Arial" w:cs="Arial"/>
                    <w:b/>
                    <w:bCs/>
                    <w:color w:val="FFFFFF" w:themeColor="background1"/>
                    <w:sz w:val="72"/>
                    <w:szCs w:val="72"/>
                  </w:rPr>
                </w:pPr>
                <w:r>
                  <w:rPr>
                    <w:rFonts w:ascii="Arial" w:eastAsiaTheme="majorEastAsia" w:hAnsi="Arial" w:cs="Arial"/>
                    <w:b/>
                    <w:bCs/>
                    <w:color w:val="FFFFFF" w:themeColor="background1"/>
                    <w:sz w:val="72"/>
                    <w:szCs w:val="72"/>
                  </w:rPr>
                  <w:t>Dental Dischargers</w:t>
                </w:r>
              </w:p>
            </w:tc>
          </w:tr>
          <w:tr w:rsidR="006E63E6" w:rsidRPr="006D725B" w14:paraId="39099486" w14:textId="77777777" w:rsidTr="003742BD">
            <w:trPr>
              <w:gridAfter w:val="1"/>
              <w:wAfter w:w="6471" w:type="dxa"/>
              <w:trHeight w:val="351"/>
            </w:trPr>
            <w:tc>
              <w:tcPr>
                <w:tcW w:w="581" w:type="dxa"/>
              </w:tcPr>
              <w:p w14:paraId="39099481" w14:textId="77777777" w:rsidR="006E63E6" w:rsidRPr="006D725B" w:rsidRDefault="006E63E6">
                <w:pPr>
                  <w:rPr>
                    <w:rFonts w:ascii="Arial" w:hAnsi="Arial" w:cs="Arial"/>
                  </w:rPr>
                </w:pPr>
              </w:p>
            </w:tc>
            <w:tc>
              <w:tcPr>
                <w:tcW w:w="4997" w:type="dxa"/>
                <w:vAlign w:val="center"/>
              </w:tcPr>
              <w:p w14:paraId="39099482" w14:textId="77777777" w:rsidR="006E63E6" w:rsidRPr="006D725B" w:rsidRDefault="006E63E6">
                <w:pPr>
                  <w:pStyle w:val="NoSpacing"/>
                  <w:rPr>
                    <w:rFonts w:ascii="Arial" w:hAnsi="Arial" w:cs="Arial"/>
                    <w:color w:val="089BA2" w:themeColor="accent3" w:themeShade="BF"/>
                  </w:rPr>
                </w:pPr>
              </w:p>
              <w:p w14:paraId="39099483" w14:textId="77777777" w:rsidR="006E63E6" w:rsidRPr="006D725B" w:rsidRDefault="006E63E6">
                <w:pPr>
                  <w:pStyle w:val="NoSpacing"/>
                  <w:rPr>
                    <w:rFonts w:ascii="Arial" w:hAnsi="Arial" w:cs="Arial"/>
                    <w:color w:val="089BA2" w:themeColor="accent3" w:themeShade="BF"/>
                  </w:rPr>
                </w:pPr>
              </w:p>
              <w:p w14:paraId="39099484" w14:textId="77777777" w:rsidR="006E63E6" w:rsidRPr="006D725B" w:rsidRDefault="006E63E6">
                <w:pPr>
                  <w:pStyle w:val="NoSpacing"/>
                  <w:rPr>
                    <w:rFonts w:ascii="Arial" w:hAnsi="Arial" w:cs="Arial"/>
                    <w:color w:val="089BA2" w:themeColor="accent3" w:themeShade="BF"/>
                  </w:rPr>
                </w:pPr>
              </w:p>
              <w:p w14:paraId="39099485" w14:textId="77777777" w:rsidR="006E63E6" w:rsidRPr="006D725B" w:rsidRDefault="006E63E6">
                <w:pPr>
                  <w:pStyle w:val="NoSpacing"/>
                  <w:rPr>
                    <w:rFonts w:ascii="Arial" w:hAnsi="Arial" w:cs="Arial"/>
                    <w:color w:val="089BA2" w:themeColor="accent3" w:themeShade="BF"/>
                  </w:rPr>
                </w:pPr>
              </w:p>
            </w:tc>
          </w:tr>
        </w:tbl>
        <w:tbl>
          <w:tblPr>
            <w:tblW w:w="9576" w:type="dxa"/>
            <w:tblLook w:val="04A0" w:firstRow="1" w:lastRow="0" w:firstColumn="1" w:lastColumn="0" w:noHBand="0" w:noVBand="1"/>
          </w:tblPr>
          <w:tblGrid>
            <w:gridCol w:w="9576"/>
          </w:tblGrid>
          <w:tr w:rsidR="008B5D45" w:rsidRPr="006D725B" w14:paraId="3909948F" w14:textId="77777777" w:rsidTr="008B5D45">
            <w:tc>
              <w:tcPr>
                <w:tcW w:w="0" w:type="auto"/>
              </w:tcPr>
              <w:p w14:paraId="39099487" w14:textId="77777777" w:rsidR="008B5D45" w:rsidRPr="00451846" w:rsidRDefault="008B5D45" w:rsidP="008B5D45">
                <w:pPr>
                  <w:rPr>
                    <w:rFonts w:ascii="Arial" w:hAnsi="Arial" w:cs="Arial"/>
                    <w:b/>
                    <w:bCs/>
                    <w:caps/>
                    <w:color w:val="7CCA62" w:themeColor="accent5"/>
                    <w:sz w:val="56"/>
                    <w:szCs w:val="72"/>
                  </w:rPr>
                </w:pPr>
                <w:r w:rsidRPr="00451846">
                  <w:rPr>
                    <w:rFonts w:ascii="Arial" w:hAnsi="Arial" w:cs="Arial"/>
                    <w:b/>
                    <w:bCs/>
                    <w:caps/>
                    <w:color w:val="7CCA62" w:themeColor="accent5"/>
                    <w:sz w:val="56"/>
                    <w:szCs w:val="72"/>
                  </w:rPr>
                  <w:t>[</w:t>
                </w:r>
                <w:sdt>
                  <w:sdtPr>
                    <w:rPr>
                      <w:rFonts w:ascii="Arial" w:hAnsi="Arial" w:cs="Arial"/>
                      <w:b/>
                      <w:bCs/>
                      <w:caps/>
                      <w:color w:val="7CCA62" w:themeColor="accent5"/>
                      <w:sz w:val="56"/>
                      <w:szCs w:val="72"/>
                    </w:rPr>
                    <w:alias w:val="Title"/>
                    <w:id w:val="15676137"/>
                    <w:dataBinding w:prefixMappings="xmlns:ns0='http://schemas.openxmlformats.org/package/2006/metadata/core-properties' xmlns:ns1='http://purl.org/dc/elements/1.1/'" w:xpath="/ns0:coreProperties[1]/ns1:title[1]" w:storeItemID="{6C3C8BC8-F283-45AE-878A-BAB7291924A1}"/>
                    <w:text/>
                  </w:sdtPr>
                  <w:sdtEndPr/>
                  <w:sdtContent>
                    <w:r w:rsidRPr="00451846">
                      <w:rPr>
                        <w:rFonts w:ascii="Arial" w:hAnsi="Arial" w:cs="Arial"/>
                        <w:b/>
                        <w:bCs/>
                        <w:caps/>
                        <w:color w:val="7CCA62" w:themeColor="accent5"/>
                        <w:sz w:val="56"/>
                        <w:szCs w:val="72"/>
                      </w:rPr>
                      <w:t>Dental Rule (EPA)</w:t>
                    </w:r>
                  </w:sdtContent>
                </w:sdt>
                <w:r w:rsidRPr="00451846">
                  <w:rPr>
                    <w:rFonts w:ascii="Arial" w:hAnsi="Arial" w:cs="Arial"/>
                    <w:b/>
                    <w:bCs/>
                    <w:caps/>
                    <w:color w:val="7CCA62" w:themeColor="accent5"/>
                    <w:sz w:val="56"/>
                    <w:szCs w:val="72"/>
                  </w:rPr>
                  <w:t>]</w:t>
                </w:r>
              </w:p>
              <w:p w14:paraId="39099488" w14:textId="77777777" w:rsidR="008B5D45" w:rsidRDefault="008B5D45" w:rsidP="008B5D45">
                <w:pPr>
                  <w:rPr>
                    <w:rFonts w:ascii="Arial" w:hAnsi="Arial" w:cs="Arial"/>
                    <w:sz w:val="24"/>
                  </w:rPr>
                </w:pPr>
                <w:r>
                  <w:rPr>
                    <w:rFonts w:ascii="Arial" w:hAnsi="Arial" w:cs="Arial"/>
                    <w:sz w:val="24"/>
                  </w:rPr>
                  <w:t xml:space="preserve">This packet was prepared by the Trinity River Authority (TRA) </w:t>
                </w:r>
                <w:r w:rsidR="00B35ADF">
                  <w:rPr>
                    <w:rFonts w:ascii="Arial" w:hAnsi="Arial" w:cs="Arial"/>
                    <w:sz w:val="24"/>
                  </w:rPr>
                  <w:t xml:space="preserve">and [Insert TRA contracting party name] </w:t>
                </w:r>
                <w:r>
                  <w:rPr>
                    <w:rFonts w:ascii="Arial" w:hAnsi="Arial" w:cs="Arial"/>
                    <w:sz w:val="24"/>
                  </w:rPr>
                  <w:t xml:space="preserve">to help new dental dischargers understand the Dental Rule published by the Environmental Protection Agency (EPA) on June 14, 2017. The TRA operates the </w:t>
                </w:r>
                <w:r w:rsidR="00E63651">
                  <w:rPr>
                    <w:rFonts w:ascii="Arial" w:hAnsi="Arial" w:cs="Arial"/>
                    <w:sz w:val="24"/>
                  </w:rPr>
                  <w:t xml:space="preserve">local </w:t>
                </w:r>
                <w:r>
                  <w:rPr>
                    <w:rFonts w:ascii="Arial" w:hAnsi="Arial" w:cs="Arial"/>
                    <w:sz w:val="24"/>
                  </w:rPr>
                  <w:t>regional wastewater treatment plant and the [Insert name of TRA contracting party] is a Contracting Party</w:t>
                </w:r>
                <w:r w:rsidR="00B35ADF">
                  <w:rPr>
                    <w:rFonts w:ascii="Arial" w:hAnsi="Arial" w:cs="Arial"/>
                    <w:sz w:val="24"/>
                  </w:rPr>
                  <w:t xml:space="preserve"> of TRA. The TRA is the</w:t>
                </w:r>
                <w:r w:rsidR="005638CF">
                  <w:rPr>
                    <w:rFonts w:ascii="Arial" w:hAnsi="Arial" w:cs="Arial"/>
                    <w:sz w:val="24"/>
                  </w:rPr>
                  <w:t xml:space="preserve"> dental discharger’s Control Authority.</w:t>
                </w:r>
              </w:p>
              <w:p w14:paraId="39099489" w14:textId="77777777" w:rsidR="00B35ADF" w:rsidRDefault="00B35ADF" w:rsidP="008B5D45">
                <w:pPr>
                  <w:rPr>
                    <w:rFonts w:ascii="Arial" w:hAnsi="Arial" w:cs="Arial"/>
                    <w:sz w:val="24"/>
                  </w:rPr>
                </w:pPr>
                <w:r w:rsidRPr="00B35ADF">
                  <w:rPr>
                    <w:rFonts w:ascii="Arial" w:hAnsi="Arial" w:cs="Arial"/>
                    <w:sz w:val="24"/>
                  </w:rPr>
                  <w:t xml:space="preserve">The Dental Rule is in effect July 14, 2017. This packet provides a summary of the Rule. For more information, please visit the EPA website on this topic. This packet is meant to provide guidance and be a short checklist for a new dental discharger or in the case of a transfer of ownership. This packet also demonstrates the American Dental Association’s (ADA) support of removal and recycling of dental amalgam that contains mercury from the wastewater discharged to Publicly Owned Treatment Works (POTWs). The final </w:t>
                </w:r>
                <w:r w:rsidR="004F7828">
                  <w:rPr>
                    <w:rFonts w:ascii="Arial" w:hAnsi="Arial" w:cs="Arial"/>
                    <w:sz w:val="24"/>
                  </w:rPr>
                  <w:t>Dental R</w:t>
                </w:r>
                <w:r w:rsidRPr="00B35ADF">
                  <w:rPr>
                    <w:rFonts w:ascii="Arial" w:hAnsi="Arial" w:cs="Arial"/>
                    <w:sz w:val="24"/>
                  </w:rPr>
                  <w:t xml:space="preserve">ule contains two best management practices (BMPs) that are also </w:t>
                </w:r>
                <w:r w:rsidR="004F7828">
                  <w:rPr>
                    <w:rFonts w:ascii="Arial" w:hAnsi="Arial" w:cs="Arial"/>
                    <w:sz w:val="24"/>
                  </w:rPr>
                  <w:t>supported</w:t>
                </w:r>
                <w:r w:rsidRPr="00B35ADF">
                  <w:rPr>
                    <w:rFonts w:ascii="Arial" w:hAnsi="Arial" w:cs="Arial"/>
                    <w:sz w:val="24"/>
                  </w:rPr>
                  <w:t xml:space="preserve"> by the ADA.</w:t>
                </w:r>
              </w:p>
              <w:p w14:paraId="6651190E" w14:textId="4CA6F5E4" w:rsidR="00451846" w:rsidRDefault="00451846" w:rsidP="005638CF">
                <w:pPr>
                  <w:spacing w:before="240" w:after="0"/>
                  <w:rPr>
                    <w:rFonts w:ascii="Arial" w:hAnsi="Arial" w:cs="Arial"/>
                    <w:sz w:val="24"/>
                    <w:szCs w:val="24"/>
                  </w:rPr>
                </w:pPr>
                <w:r>
                  <w:rPr>
                    <w:rFonts w:ascii="Arial" w:hAnsi="Arial" w:cs="Arial"/>
                    <w:sz w:val="24"/>
                    <w:szCs w:val="24"/>
                  </w:rPr>
                  <w:t>Please complete the included One-Time Compliance Report and return the report per the instructions on the form.</w:t>
                </w:r>
              </w:p>
              <w:p w14:paraId="3909948A" w14:textId="3383E767" w:rsidR="005638CF" w:rsidRPr="005638CF" w:rsidRDefault="005638CF" w:rsidP="005638CF">
                <w:pPr>
                  <w:spacing w:before="240" w:after="0"/>
                  <w:rPr>
                    <w:rFonts w:ascii="Arial" w:hAnsi="Arial" w:cs="Arial"/>
                    <w:sz w:val="24"/>
                    <w:szCs w:val="24"/>
                  </w:rPr>
                </w:pPr>
                <w:r w:rsidRPr="005638CF">
                  <w:rPr>
                    <w:rFonts w:ascii="Arial" w:hAnsi="Arial" w:cs="Arial"/>
                    <w:sz w:val="24"/>
                    <w:szCs w:val="24"/>
                  </w:rPr>
                  <w:t>For more information on the Dental Rule, please visit the following website:</w:t>
                </w:r>
              </w:p>
              <w:p w14:paraId="3909948B" w14:textId="77777777" w:rsidR="005638CF" w:rsidRPr="00451846" w:rsidRDefault="0091209E" w:rsidP="005638CF">
                <w:pPr>
                  <w:pStyle w:val="Footer"/>
                  <w:rPr>
                    <w:rStyle w:val="Hyperlink"/>
                    <w:rFonts w:ascii="Arial" w:hAnsi="Arial" w:cs="Arial"/>
                    <w:color w:val="0F6FC6" w:themeColor="accent1"/>
                    <w:sz w:val="24"/>
                    <w:szCs w:val="24"/>
                  </w:rPr>
                </w:pPr>
                <w:hyperlink r:id="rId13" w:history="1">
                  <w:r w:rsidR="005638CF" w:rsidRPr="00451846">
                    <w:rPr>
                      <w:rStyle w:val="Hyperlink"/>
                      <w:rFonts w:ascii="Arial" w:hAnsi="Arial" w:cs="Arial"/>
                      <w:color w:val="0F6FC6" w:themeColor="accent1"/>
                      <w:sz w:val="24"/>
                      <w:szCs w:val="24"/>
                    </w:rPr>
                    <w:t>https://www.epa.gov/eg/dental-effluent-guidelines</w:t>
                  </w:r>
                </w:hyperlink>
              </w:p>
              <w:p w14:paraId="3909948C" w14:textId="77777777" w:rsidR="005638CF" w:rsidRDefault="005638CF" w:rsidP="005638CF">
                <w:pPr>
                  <w:pStyle w:val="Footer"/>
                  <w:rPr>
                    <w:rStyle w:val="Hyperlink"/>
                    <w:rFonts w:ascii="Arial" w:hAnsi="Arial" w:cs="Arial"/>
                    <w:sz w:val="20"/>
                  </w:rPr>
                </w:pPr>
              </w:p>
              <w:p w14:paraId="3909948D" w14:textId="77777777" w:rsidR="005638CF" w:rsidRPr="005638CF" w:rsidRDefault="005638CF" w:rsidP="005638CF">
                <w:pPr>
                  <w:pStyle w:val="Footer"/>
                  <w:rPr>
                    <w:rFonts w:ascii="Arial" w:hAnsi="Arial" w:cs="Arial"/>
                  </w:rPr>
                </w:pPr>
              </w:p>
              <w:p w14:paraId="3909948E" w14:textId="3192524D" w:rsidR="008B5D45" w:rsidRPr="006D725B" w:rsidRDefault="0091209E" w:rsidP="008B5D45">
                <w:pPr>
                  <w:pStyle w:val="NoSpacing"/>
                  <w:rPr>
                    <w:rFonts w:ascii="Arial" w:hAnsi="Arial" w:cs="Arial"/>
                    <w:b/>
                    <w:bCs/>
                    <w:caps/>
                    <w:color w:val="7CCA62" w:themeColor="accent5"/>
                    <w:sz w:val="72"/>
                    <w:szCs w:val="72"/>
                  </w:rPr>
                </w:pPr>
                <w:r>
                  <w:rPr>
                    <w:noProof/>
                    <w:lang w:eastAsia="en-US"/>
                  </w:rPr>
                  <w:drawing>
                    <wp:anchor distT="0" distB="0" distL="114300" distR="114300" simplePos="0" relativeHeight="251661312" behindDoc="0" locked="0" layoutInCell="1" allowOverlap="1" wp14:anchorId="0A1BA87D" wp14:editId="4AF84595">
                      <wp:simplePos x="0" y="0"/>
                      <wp:positionH relativeFrom="column">
                        <wp:posOffset>3009900</wp:posOffset>
                      </wp:positionH>
                      <wp:positionV relativeFrom="paragraph">
                        <wp:posOffset>472440</wp:posOffset>
                      </wp:positionV>
                      <wp:extent cx="2686050" cy="990600"/>
                      <wp:effectExtent l="0" t="0" r="0" b="0"/>
                      <wp:wrapNone/>
                      <wp:docPr id="3" name="Picture 2" descr="C:\Users\vuduy\AppData\Local\Microsoft\Windows\INetCache\Content.Word\Cit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uduy\AppData\Local\Microsoft\Windows\INetCache\Content.Word\City Logo.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86050" cy="9906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8B5D45" w:rsidRPr="006D725B" w14:paraId="39099491" w14:textId="77777777" w:rsidTr="008B5D45">
            <w:tc>
              <w:tcPr>
                <w:tcW w:w="0" w:type="auto"/>
              </w:tcPr>
              <w:p w14:paraId="39099490" w14:textId="13372AF8" w:rsidR="008B5D45" w:rsidRPr="006D725B" w:rsidRDefault="008B5D45" w:rsidP="008B5D45">
                <w:pPr>
                  <w:pStyle w:val="NoSpacing"/>
                  <w:rPr>
                    <w:rFonts w:ascii="Arial" w:hAnsi="Arial" w:cs="Arial"/>
                    <w:sz w:val="24"/>
                  </w:rPr>
                </w:pPr>
              </w:p>
            </w:tc>
          </w:tr>
        </w:tbl>
        <w:p w14:paraId="39099492" w14:textId="1C3AB30B" w:rsidR="00210551" w:rsidRPr="006D725B" w:rsidRDefault="00B35ADF" w:rsidP="00210551">
          <w:pPr>
            <w:rPr>
              <w:rFonts w:ascii="Arial" w:eastAsiaTheme="majorEastAsia" w:hAnsi="Arial" w:cs="Arial"/>
              <w:b/>
              <w:bCs/>
              <w:color w:val="0B5294" w:themeColor="accent1" w:themeShade="BF"/>
              <w:sz w:val="28"/>
              <w:szCs w:val="28"/>
            </w:rPr>
          </w:pPr>
          <w:r w:rsidRPr="006D725B">
            <w:rPr>
              <w:rFonts w:ascii="Arial" w:eastAsiaTheme="majorEastAsia" w:hAnsi="Arial" w:cs="Arial"/>
              <w:b/>
              <w:bCs/>
              <w:noProof/>
              <w:color w:val="0B5294" w:themeColor="accent1" w:themeShade="BF"/>
              <w:sz w:val="28"/>
              <w:szCs w:val="28"/>
            </w:rPr>
            <w:drawing>
              <wp:anchor distT="0" distB="0" distL="114300" distR="114300" simplePos="0" relativeHeight="251659264" behindDoc="0" locked="0" layoutInCell="1" allowOverlap="1" wp14:anchorId="390994DB" wp14:editId="5218B6F9">
                <wp:simplePos x="0" y="0"/>
                <wp:positionH relativeFrom="column">
                  <wp:posOffset>-82550</wp:posOffset>
                </wp:positionH>
                <wp:positionV relativeFrom="paragraph">
                  <wp:posOffset>-212725</wp:posOffset>
                </wp:positionV>
                <wp:extent cx="1031240" cy="10363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 logo two color w-o background.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31240" cy="1036320"/>
                        </a:xfrm>
                        <a:prstGeom prst="rect">
                          <a:avLst/>
                        </a:prstGeom>
                      </pic:spPr>
                    </pic:pic>
                  </a:graphicData>
                </a:graphic>
                <wp14:sizeRelH relativeFrom="page">
                  <wp14:pctWidth>0</wp14:pctWidth>
                </wp14:sizeRelH>
                <wp14:sizeRelV relativeFrom="page">
                  <wp14:pctHeight>0</wp14:pctHeight>
                </wp14:sizeRelV>
              </wp:anchor>
            </w:drawing>
          </w:r>
        </w:p>
      </w:sdtContent>
    </w:sdt>
    <w:p w14:paraId="39099493" w14:textId="68E57DFA" w:rsidR="006E63E6" w:rsidRPr="006D725B" w:rsidRDefault="006E63E6" w:rsidP="00210551">
      <w:pPr>
        <w:rPr>
          <w:rFonts w:ascii="Arial" w:eastAsiaTheme="majorEastAsia" w:hAnsi="Arial" w:cs="Arial"/>
          <w:b/>
          <w:bCs/>
          <w:color w:val="0B5294" w:themeColor="accent1" w:themeShade="BF"/>
          <w:sz w:val="28"/>
          <w:szCs w:val="28"/>
        </w:rPr>
      </w:pPr>
      <w:r w:rsidRPr="006D725B">
        <w:rPr>
          <w:rFonts w:ascii="Arial" w:hAnsi="Arial" w:cs="Arial"/>
        </w:rPr>
        <w:br w:type="page"/>
      </w:r>
      <w:bookmarkStart w:id="0" w:name="_GoBack"/>
      <w:bookmarkEnd w:id="0"/>
    </w:p>
    <w:p w14:paraId="39099494" w14:textId="77777777" w:rsidR="005D51DF" w:rsidRPr="00451846" w:rsidRDefault="005D51DF" w:rsidP="005A738E">
      <w:pPr>
        <w:pStyle w:val="Title"/>
        <w:rPr>
          <w:rFonts w:ascii="Arial" w:hAnsi="Arial" w:cs="Arial"/>
          <w:color w:val="7CCA62" w:themeColor="accent5"/>
          <w:sz w:val="56"/>
          <w:szCs w:val="60"/>
        </w:rPr>
      </w:pPr>
      <w:r w:rsidRPr="00451846">
        <w:rPr>
          <w:rFonts w:ascii="Arial" w:hAnsi="Arial" w:cs="Arial"/>
          <w:color w:val="7CCA62" w:themeColor="accent5"/>
          <w:sz w:val="56"/>
          <w:szCs w:val="60"/>
        </w:rPr>
        <w:lastRenderedPageBreak/>
        <w:t>SUMMARY OF DENTAL RULE</w:t>
      </w:r>
    </w:p>
    <w:tbl>
      <w:tblPr>
        <w:tblStyle w:val="TableGrid"/>
        <w:tblW w:w="9576" w:type="dxa"/>
        <w:tblLayout w:type="fixed"/>
        <w:tblLook w:val="04A0" w:firstRow="1" w:lastRow="0" w:firstColumn="1" w:lastColumn="0" w:noHBand="0" w:noVBand="1"/>
      </w:tblPr>
      <w:tblGrid>
        <w:gridCol w:w="2178"/>
        <w:gridCol w:w="2970"/>
        <w:gridCol w:w="4428"/>
      </w:tblGrid>
      <w:tr w:rsidR="003B65A2" w:rsidRPr="006D725B" w14:paraId="3909949A" w14:textId="77777777" w:rsidTr="0047696C">
        <w:tc>
          <w:tcPr>
            <w:tcW w:w="2178" w:type="dxa"/>
          </w:tcPr>
          <w:p w14:paraId="39099495" w14:textId="77777777" w:rsidR="003B65A2" w:rsidRPr="003B65A2" w:rsidRDefault="003B65A2" w:rsidP="0047696C">
            <w:pPr>
              <w:spacing w:before="240"/>
              <w:rPr>
                <w:rFonts w:ascii="Arial" w:hAnsi="Arial" w:cs="Arial"/>
                <w:b/>
                <w:sz w:val="18"/>
              </w:rPr>
            </w:pPr>
            <w:r w:rsidRPr="003B65A2">
              <w:rPr>
                <w:rFonts w:ascii="Arial" w:hAnsi="Arial" w:cs="Arial"/>
                <w:b/>
                <w:sz w:val="18"/>
              </w:rPr>
              <w:t>What is the Dental Rule?</w:t>
            </w:r>
            <w:r w:rsidRPr="003B65A2">
              <w:rPr>
                <w:rFonts w:ascii="Arial" w:hAnsi="Arial" w:cs="Arial"/>
                <w:b/>
                <w:sz w:val="18"/>
                <w:vertAlign w:val="superscript"/>
              </w:rPr>
              <w:t>1</w:t>
            </w:r>
          </w:p>
        </w:tc>
        <w:tc>
          <w:tcPr>
            <w:tcW w:w="7398" w:type="dxa"/>
            <w:gridSpan w:val="2"/>
            <w:tcBorders>
              <w:top w:val="single" w:sz="4" w:space="0" w:color="auto"/>
            </w:tcBorders>
          </w:tcPr>
          <w:p w14:paraId="39099496" w14:textId="77777777" w:rsidR="000B6F01" w:rsidRDefault="000B6F01" w:rsidP="000B6F01">
            <w:pPr>
              <w:pStyle w:val="ListParagraph"/>
              <w:numPr>
                <w:ilvl w:val="0"/>
                <w:numId w:val="4"/>
              </w:numPr>
              <w:spacing w:before="240"/>
              <w:rPr>
                <w:rFonts w:ascii="Arial" w:hAnsi="Arial" w:cs="Arial"/>
                <w:sz w:val="18"/>
              </w:rPr>
            </w:pPr>
            <w:r w:rsidRPr="003B65A2">
              <w:rPr>
                <w:rFonts w:ascii="Arial" w:hAnsi="Arial" w:cs="Arial"/>
                <w:sz w:val="18"/>
              </w:rPr>
              <w:t>Requires dental</w:t>
            </w:r>
            <w:r>
              <w:rPr>
                <w:rFonts w:ascii="Arial" w:hAnsi="Arial" w:cs="Arial"/>
                <w:sz w:val="18"/>
              </w:rPr>
              <w:t xml:space="preserve"> offices that discharge wastewater that contains dental amalgam </w:t>
            </w:r>
            <w:r w:rsidRPr="003B65A2">
              <w:rPr>
                <w:rFonts w:ascii="Arial" w:hAnsi="Arial" w:cs="Arial"/>
                <w:sz w:val="18"/>
              </w:rPr>
              <w:t xml:space="preserve">to </w:t>
            </w:r>
            <w:r>
              <w:rPr>
                <w:rFonts w:ascii="Arial" w:hAnsi="Arial" w:cs="Arial"/>
                <w:sz w:val="18"/>
              </w:rPr>
              <w:t xml:space="preserve">Publicly Owned Treatment Works (POTWs) to install, inspect, and maintain a </w:t>
            </w:r>
            <w:r w:rsidRPr="003B65A2">
              <w:rPr>
                <w:rFonts w:ascii="Arial" w:hAnsi="Arial" w:cs="Arial"/>
                <w:sz w:val="18"/>
              </w:rPr>
              <w:t>dental amalgam separator.</w:t>
            </w:r>
          </w:p>
          <w:p w14:paraId="39099497" w14:textId="77777777" w:rsidR="00136B9F" w:rsidRPr="00136B9F" w:rsidRDefault="00136B9F" w:rsidP="00136B9F">
            <w:pPr>
              <w:pStyle w:val="ListParagraph"/>
              <w:numPr>
                <w:ilvl w:val="0"/>
                <w:numId w:val="4"/>
              </w:numPr>
              <w:spacing w:before="240"/>
              <w:rPr>
                <w:rFonts w:ascii="Arial" w:hAnsi="Arial" w:cs="Arial"/>
                <w:sz w:val="18"/>
              </w:rPr>
            </w:pPr>
            <w:r>
              <w:rPr>
                <w:rFonts w:ascii="Arial" w:hAnsi="Arial" w:cs="Arial"/>
                <w:sz w:val="18"/>
              </w:rPr>
              <w:t xml:space="preserve">Requires the implementation </w:t>
            </w:r>
            <w:r w:rsidR="006A7F3B">
              <w:rPr>
                <w:rFonts w:ascii="Arial" w:hAnsi="Arial" w:cs="Arial"/>
                <w:sz w:val="18"/>
              </w:rPr>
              <w:t xml:space="preserve">of </w:t>
            </w:r>
            <w:r>
              <w:rPr>
                <w:rFonts w:ascii="Arial" w:hAnsi="Arial" w:cs="Arial"/>
                <w:sz w:val="18"/>
              </w:rPr>
              <w:t>two best management practices (BMPs).</w:t>
            </w:r>
          </w:p>
          <w:p w14:paraId="39099498" w14:textId="77777777" w:rsidR="003B65A2" w:rsidRPr="003B65A2" w:rsidRDefault="003B65A2" w:rsidP="0047696C">
            <w:pPr>
              <w:pStyle w:val="ListParagraph"/>
              <w:numPr>
                <w:ilvl w:val="0"/>
                <w:numId w:val="4"/>
              </w:numPr>
              <w:spacing w:before="240"/>
              <w:rPr>
                <w:rFonts w:ascii="Arial" w:hAnsi="Arial" w:cs="Arial"/>
                <w:sz w:val="18"/>
              </w:rPr>
            </w:pPr>
            <w:r>
              <w:rPr>
                <w:rFonts w:ascii="Arial" w:hAnsi="Arial" w:cs="Arial"/>
                <w:sz w:val="18"/>
              </w:rPr>
              <w:t>Published in Federal Register</w:t>
            </w:r>
            <w:r w:rsidRPr="003B65A2">
              <w:rPr>
                <w:rFonts w:ascii="Arial" w:hAnsi="Arial" w:cs="Arial"/>
                <w:sz w:val="18"/>
              </w:rPr>
              <w:t xml:space="preserve"> by EPA on June 14, 2017.</w:t>
            </w:r>
          </w:p>
          <w:p w14:paraId="39099499" w14:textId="77777777" w:rsidR="003B65A2" w:rsidRPr="003B65A2" w:rsidRDefault="003B65A2" w:rsidP="0047696C">
            <w:pPr>
              <w:pStyle w:val="ListParagraph"/>
              <w:numPr>
                <w:ilvl w:val="0"/>
                <w:numId w:val="4"/>
              </w:numPr>
              <w:spacing w:before="240" w:after="200"/>
              <w:rPr>
                <w:rFonts w:ascii="Arial" w:hAnsi="Arial" w:cs="Arial"/>
                <w:sz w:val="18"/>
              </w:rPr>
            </w:pPr>
            <w:r>
              <w:rPr>
                <w:rFonts w:ascii="Arial" w:hAnsi="Arial" w:cs="Arial"/>
                <w:sz w:val="18"/>
              </w:rPr>
              <w:t>EPA e</w:t>
            </w:r>
            <w:r w:rsidRPr="003B65A2">
              <w:rPr>
                <w:rFonts w:ascii="Arial" w:hAnsi="Arial" w:cs="Arial"/>
                <w:sz w:val="18"/>
              </w:rPr>
              <w:t>stimate</w:t>
            </w:r>
            <w:r>
              <w:rPr>
                <w:rFonts w:ascii="Arial" w:hAnsi="Arial" w:cs="Arial"/>
                <w:sz w:val="18"/>
              </w:rPr>
              <w:t>s</w:t>
            </w:r>
            <w:r w:rsidRPr="003B65A2">
              <w:rPr>
                <w:rFonts w:ascii="Arial" w:hAnsi="Arial" w:cs="Arial"/>
                <w:sz w:val="18"/>
              </w:rPr>
              <w:t xml:space="preserve"> annual cost incurred by dental office: avg. of $800 annually.</w:t>
            </w:r>
          </w:p>
        </w:tc>
      </w:tr>
      <w:tr w:rsidR="003B65A2" w:rsidRPr="006D725B" w14:paraId="3909949F" w14:textId="77777777" w:rsidTr="0047696C">
        <w:tc>
          <w:tcPr>
            <w:tcW w:w="2178" w:type="dxa"/>
          </w:tcPr>
          <w:p w14:paraId="3909949B" w14:textId="77777777" w:rsidR="003B65A2" w:rsidRPr="003B65A2" w:rsidRDefault="003B65A2" w:rsidP="0047696C">
            <w:pPr>
              <w:spacing w:before="240"/>
              <w:rPr>
                <w:rFonts w:ascii="Arial" w:hAnsi="Arial" w:cs="Arial"/>
                <w:b/>
                <w:sz w:val="18"/>
              </w:rPr>
            </w:pPr>
            <w:r w:rsidRPr="003B65A2">
              <w:rPr>
                <w:rFonts w:ascii="Arial" w:hAnsi="Arial" w:cs="Arial"/>
                <w:b/>
                <w:sz w:val="18"/>
              </w:rPr>
              <w:t>Why are standards needed?</w:t>
            </w:r>
            <w:r w:rsidRPr="003B65A2">
              <w:rPr>
                <w:rFonts w:ascii="Arial" w:hAnsi="Arial" w:cs="Arial"/>
                <w:b/>
                <w:sz w:val="18"/>
                <w:vertAlign w:val="superscript"/>
              </w:rPr>
              <w:t>1</w:t>
            </w:r>
          </w:p>
        </w:tc>
        <w:tc>
          <w:tcPr>
            <w:tcW w:w="7398" w:type="dxa"/>
            <w:gridSpan w:val="2"/>
          </w:tcPr>
          <w:p w14:paraId="3909949C" w14:textId="77777777" w:rsidR="00293FEA" w:rsidRDefault="00293FEA" w:rsidP="00293FEA">
            <w:pPr>
              <w:pStyle w:val="ListParagraph"/>
              <w:numPr>
                <w:ilvl w:val="0"/>
                <w:numId w:val="7"/>
              </w:numPr>
              <w:spacing w:before="240"/>
              <w:rPr>
                <w:rFonts w:ascii="Arial" w:hAnsi="Arial" w:cs="Arial"/>
                <w:sz w:val="18"/>
              </w:rPr>
            </w:pPr>
            <w:r w:rsidRPr="00293FEA">
              <w:rPr>
                <w:rFonts w:ascii="Arial" w:hAnsi="Arial" w:cs="Arial"/>
                <w:sz w:val="18"/>
              </w:rPr>
              <w:t>Mercury from waste amalgam can end up in the environment from the POTW through incineration, landfilling, or land application.</w:t>
            </w:r>
          </w:p>
          <w:p w14:paraId="3909949D" w14:textId="77777777" w:rsidR="003B65A2" w:rsidRDefault="003B65A2" w:rsidP="00293FEA">
            <w:pPr>
              <w:pStyle w:val="ListParagraph"/>
              <w:numPr>
                <w:ilvl w:val="0"/>
                <w:numId w:val="7"/>
              </w:numPr>
              <w:spacing w:before="240"/>
              <w:rPr>
                <w:rFonts w:ascii="Arial" w:hAnsi="Arial" w:cs="Arial"/>
                <w:sz w:val="18"/>
              </w:rPr>
            </w:pPr>
            <w:r w:rsidRPr="003B65A2">
              <w:rPr>
                <w:rFonts w:ascii="Arial" w:hAnsi="Arial" w:cs="Arial"/>
                <w:sz w:val="18"/>
              </w:rPr>
              <w:t>Mercury – potent neurotoxin that causes wide range of health issues</w:t>
            </w:r>
            <w:r w:rsidR="00293FEA">
              <w:rPr>
                <w:rFonts w:ascii="Arial" w:hAnsi="Arial" w:cs="Arial"/>
                <w:sz w:val="18"/>
              </w:rPr>
              <w:t>.</w:t>
            </w:r>
          </w:p>
          <w:p w14:paraId="3909949E" w14:textId="77777777" w:rsidR="00136B9F" w:rsidRPr="00293FEA" w:rsidRDefault="00136B9F" w:rsidP="00136B9F">
            <w:pPr>
              <w:pStyle w:val="ListParagraph"/>
              <w:spacing w:before="240"/>
              <w:rPr>
                <w:rFonts w:ascii="Arial" w:hAnsi="Arial" w:cs="Arial"/>
                <w:sz w:val="18"/>
              </w:rPr>
            </w:pPr>
          </w:p>
        </w:tc>
      </w:tr>
      <w:tr w:rsidR="003B65A2" w:rsidRPr="006D725B" w14:paraId="390994A9" w14:textId="77777777" w:rsidTr="003B65A2">
        <w:tc>
          <w:tcPr>
            <w:tcW w:w="2178" w:type="dxa"/>
            <w:tcBorders>
              <w:right w:val="single" w:sz="4" w:space="0" w:color="auto"/>
            </w:tcBorders>
          </w:tcPr>
          <w:p w14:paraId="390994A0" w14:textId="77777777" w:rsidR="003B65A2" w:rsidRPr="003B65A2" w:rsidRDefault="003B65A2" w:rsidP="0047696C">
            <w:pPr>
              <w:spacing w:before="240"/>
              <w:rPr>
                <w:rFonts w:ascii="Arial" w:hAnsi="Arial" w:cs="Arial"/>
                <w:b/>
                <w:sz w:val="18"/>
              </w:rPr>
            </w:pPr>
            <w:r w:rsidRPr="003B65A2">
              <w:rPr>
                <w:rFonts w:ascii="Arial" w:hAnsi="Arial" w:cs="Arial"/>
                <w:b/>
                <w:sz w:val="18"/>
              </w:rPr>
              <w:t>Who is affected by the Dental Rule?</w:t>
            </w:r>
            <w:r w:rsidRPr="003B65A2">
              <w:rPr>
                <w:rFonts w:ascii="Arial" w:hAnsi="Arial" w:cs="Arial"/>
                <w:b/>
                <w:sz w:val="18"/>
                <w:vertAlign w:val="superscript"/>
              </w:rPr>
              <w:t>1</w:t>
            </w:r>
          </w:p>
        </w:tc>
        <w:tc>
          <w:tcPr>
            <w:tcW w:w="2970" w:type="dxa"/>
            <w:tcBorders>
              <w:top w:val="single" w:sz="4" w:space="0" w:color="auto"/>
              <w:left w:val="single" w:sz="4" w:space="0" w:color="auto"/>
              <w:bottom w:val="single" w:sz="4" w:space="0" w:color="auto"/>
              <w:right w:val="nil"/>
            </w:tcBorders>
          </w:tcPr>
          <w:p w14:paraId="390994A1" w14:textId="77777777" w:rsidR="003B65A2" w:rsidRPr="003B65A2" w:rsidRDefault="003B65A2" w:rsidP="0047696C">
            <w:pPr>
              <w:spacing w:before="240"/>
              <w:rPr>
                <w:rFonts w:ascii="Arial" w:hAnsi="Arial" w:cs="Arial"/>
                <w:sz w:val="18"/>
              </w:rPr>
            </w:pPr>
            <w:r w:rsidRPr="003B65A2">
              <w:rPr>
                <w:rFonts w:ascii="Arial" w:hAnsi="Arial" w:cs="Arial"/>
                <w:sz w:val="18"/>
              </w:rPr>
              <w:t>Applies to:</w:t>
            </w:r>
          </w:p>
          <w:p w14:paraId="390994A2" w14:textId="77777777" w:rsidR="003B65A2" w:rsidRPr="003B65A2" w:rsidRDefault="003B65A2" w:rsidP="0047696C">
            <w:pPr>
              <w:pStyle w:val="ListParagraph"/>
              <w:numPr>
                <w:ilvl w:val="0"/>
                <w:numId w:val="1"/>
              </w:numPr>
              <w:rPr>
                <w:rFonts w:ascii="Arial" w:hAnsi="Arial" w:cs="Arial"/>
                <w:sz w:val="18"/>
              </w:rPr>
            </w:pPr>
            <w:r w:rsidRPr="003B65A2">
              <w:rPr>
                <w:rFonts w:ascii="Arial" w:hAnsi="Arial" w:cs="Arial"/>
                <w:sz w:val="18"/>
              </w:rPr>
              <w:t>Dental offices</w:t>
            </w:r>
          </w:p>
          <w:p w14:paraId="390994A3" w14:textId="77777777" w:rsidR="003B65A2" w:rsidRPr="003B65A2" w:rsidRDefault="003B65A2" w:rsidP="0047696C">
            <w:pPr>
              <w:pStyle w:val="ListParagraph"/>
              <w:numPr>
                <w:ilvl w:val="0"/>
                <w:numId w:val="1"/>
              </w:numPr>
              <w:rPr>
                <w:rFonts w:ascii="Arial" w:hAnsi="Arial" w:cs="Arial"/>
                <w:sz w:val="18"/>
              </w:rPr>
            </w:pPr>
            <w:r w:rsidRPr="003B65A2">
              <w:rPr>
                <w:rFonts w:ascii="Arial" w:hAnsi="Arial" w:cs="Arial"/>
                <w:sz w:val="18"/>
              </w:rPr>
              <w:t>Dental schools</w:t>
            </w:r>
          </w:p>
          <w:p w14:paraId="390994A4" w14:textId="77777777" w:rsidR="003B65A2" w:rsidRPr="003B65A2" w:rsidRDefault="003B65A2" w:rsidP="0047696C">
            <w:pPr>
              <w:pStyle w:val="ListParagraph"/>
              <w:numPr>
                <w:ilvl w:val="0"/>
                <w:numId w:val="1"/>
              </w:numPr>
              <w:rPr>
                <w:rFonts w:ascii="Arial" w:hAnsi="Arial" w:cs="Arial"/>
                <w:sz w:val="18"/>
              </w:rPr>
            </w:pPr>
            <w:r w:rsidRPr="003B65A2">
              <w:rPr>
                <w:rFonts w:ascii="Arial" w:hAnsi="Arial" w:cs="Arial"/>
                <w:sz w:val="18"/>
              </w:rPr>
              <w:t>Dental clinics</w:t>
            </w:r>
          </w:p>
          <w:p w14:paraId="390994A5" w14:textId="77777777" w:rsidR="003B65A2" w:rsidRPr="003B65A2" w:rsidRDefault="003B65A2" w:rsidP="0047696C">
            <w:pPr>
              <w:pStyle w:val="ListParagraph"/>
              <w:numPr>
                <w:ilvl w:val="0"/>
                <w:numId w:val="1"/>
              </w:numPr>
              <w:rPr>
                <w:rFonts w:ascii="Arial" w:hAnsi="Arial" w:cs="Arial"/>
                <w:sz w:val="18"/>
              </w:rPr>
            </w:pPr>
            <w:r w:rsidRPr="003B65A2">
              <w:rPr>
                <w:rFonts w:ascii="Arial" w:hAnsi="Arial" w:cs="Arial"/>
                <w:sz w:val="18"/>
              </w:rPr>
              <w:t>Government operated dental facilities</w:t>
            </w:r>
          </w:p>
        </w:tc>
        <w:tc>
          <w:tcPr>
            <w:tcW w:w="4428" w:type="dxa"/>
            <w:tcBorders>
              <w:top w:val="single" w:sz="4" w:space="0" w:color="auto"/>
              <w:left w:val="nil"/>
              <w:bottom w:val="single" w:sz="4" w:space="0" w:color="auto"/>
              <w:right w:val="single" w:sz="4" w:space="0" w:color="auto"/>
            </w:tcBorders>
          </w:tcPr>
          <w:p w14:paraId="390994A6" w14:textId="77777777" w:rsidR="003B65A2" w:rsidRPr="003B65A2" w:rsidRDefault="003B65A2" w:rsidP="0047696C">
            <w:pPr>
              <w:spacing w:before="240"/>
              <w:rPr>
                <w:rFonts w:ascii="Arial" w:hAnsi="Arial" w:cs="Arial"/>
                <w:sz w:val="18"/>
              </w:rPr>
            </w:pPr>
            <w:r w:rsidRPr="003B65A2">
              <w:rPr>
                <w:rFonts w:ascii="Arial" w:hAnsi="Arial" w:cs="Arial"/>
                <w:sz w:val="18"/>
              </w:rPr>
              <w:t>Does NOT apply to:</w:t>
            </w:r>
          </w:p>
          <w:p w14:paraId="390994A7" w14:textId="77777777" w:rsidR="003B65A2" w:rsidRPr="003B65A2" w:rsidRDefault="003B65A2" w:rsidP="0047696C">
            <w:pPr>
              <w:pStyle w:val="ListParagraph"/>
              <w:numPr>
                <w:ilvl w:val="0"/>
                <w:numId w:val="3"/>
              </w:numPr>
              <w:rPr>
                <w:rFonts w:ascii="Arial" w:hAnsi="Arial" w:cs="Arial"/>
                <w:sz w:val="18"/>
              </w:rPr>
            </w:pPr>
            <w:r w:rsidRPr="003B65A2">
              <w:rPr>
                <w:rFonts w:ascii="Arial" w:hAnsi="Arial" w:cs="Arial"/>
                <w:sz w:val="18"/>
              </w:rPr>
              <w:t>Mobile units</w:t>
            </w:r>
          </w:p>
          <w:p w14:paraId="390994A8" w14:textId="77777777" w:rsidR="003B65A2" w:rsidRPr="003B65A2" w:rsidRDefault="003B65A2" w:rsidP="0047696C">
            <w:pPr>
              <w:pStyle w:val="ListParagraph"/>
              <w:numPr>
                <w:ilvl w:val="0"/>
                <w:numId w:val="3"/>
              </w:numPr>
              <w:spacing w:after="200"/>
              <w:rPr>
                <w:rFonts w:ascii="Arial" w:hAnsi="Arial" w:cs="Arial"/>
                <w:sz w:val="18"/>
              </w:rPr>
            </w:pPr>
            <w:r w:rsidRPr="003B65A2">
              <w:rPr>
                <w:rFonts w:ascii="Arial" w:hAnsi="Arial" w:cs="Arial"/>
                <w:sz w:val="18"/>
              </w:rPr>
              <w:t>Practices consisting ONLY of these specialties: oral pathology, oral &amp; maxillofacial radiology/surgery, orthodontics, periodontics, or prosthodontics.</w:t>
            </w:r>
          </w:p>
        </w:tc>
      </w:tr>
      <w:tr w:rsidR="003B65A2" w:rsidRPr="006D725B" w14:paraId="390994AE" w14:textId="77777777" w:rsidTr="0047696C">
        <w:tc>
          <w:tcPr>
            <w:tcW w:w="2178" w:type="dxa"/>
          </w:tcPr>
          <w:p w14:paraId="390994AA" w14:textId="77777777" w:rsidR="003B65A2" w:rsidRPr="003B65A2" w:rsidRDefault="003B65A2" w:rsidP="0047696C">
            <w:pPr>
              <w:spacing w:before="240"/>
              <w:rPr>
                <w:rFonts w:ascii="Arial" w:hAnsi="Arial" w:cs="Arial"/>
                <w:b/>
                <w:sz w:val="18"/>
              </w:rPr>
            </w:pPr>
            <w:r w:rsidRPr="003B65A2">
              <w:rPr>
                <w:rFonts w:ascii="Arial" w:hAnsi="Arial" w:cs="Arial"/>
                <w:b/>
                <w:sz w:val="18"/>
              </w:rPr>
              <w:t>What kind of amalgam separator is required?</w:t>
            </w:r>
            <w:r w:rsidRPr="003B65A2">
              <w:rPr>
                <w:rFonts w:ascii="Arial" w:hAnsi="Arial" w:cs="Arial"/>
                <w:b/>
                <w:sz w:val="18"/>
                <w:vertAlign w:val="superscript"/>
              </w:rPr>
              <w:t>2</w:t>
            </w:r>
          </w:p>
        </w:tc>
        <w:tc>
          <w:tcPr>
            <w:tcW w:w="7398" w:type="dxa"/>
            <w:gridSpan w:val="2"/>
          </w:tcPr>
          <w:p w14:paraId="390994AB" w14:textId="4078DC03" w:rsidR="003B65A2" w:rsidRDefault="004F7828" w:rsidP="0047696C">
            <w:pPr>
              <w:pStyle w:val="ListParagraph"/>
              <w:numPr>
                <w:ilvl w:val="0"/>
                <w:numId w:val="5"/>
              </w:numPr>
              <w:spacing w:before="240"/>
              <w:rPr>
                <w:rFonts w:ascii="Arial" w:hAnsi="Arial" w:cs="Arial"/>
                <w:sz w:val="18"/>
              </w:rPr>
            </w:pPr>
            <w:r>
              <w:rPr>
                <w:rFonts w:ascii="Arial" w:hAnsi="Arial" w:cs="Arial"/>
                <w:sz w:val="18"/>
              </w:rPr>
              <w:t>A</w:t>
            </w:r>
            <w:r w:rsidR="00136B9F">
              <w:rPr>
                <w:rFonts w:ascii="Arial" w:hAnsi="Arial" w:cs="Arial"/>
                <w:sz w:val="18"/>
              </w:rPr>
              <w:t>malgam separator</w:t>
            </w:r>
            <w:r>
              <w:rPr>
                <w:rFonts w:ascii="Arial" w:hAnsi="Arial" w:cs="Arial"/>
                <w:sz w:val="18"/>
              </w:rPr>
              <w:t>(s)</w:t>
            </w:r>
            <w:r w:rsidR="00136B9F">
              <w:rPr>
                <w:rFonts w:ascii="Arial" w:hAnsi="Arial" w:cs="Arial"/>
                <w:sz w:val="18"/>
              </w:rPr>
              <w:t xml:space="preserve"> compliant with</w:t>
            </w:r>
            <w:r w:rsidR="003B65A2" w:rsidRPr="003B65A2">
              <w:rPr>
                <w:rFonts w:ascii="Arial" w:hAnsi="Arial" w:cs="Arial"/>
                <w:sz w:val="18"/>
              </w:rPr>
              <w:t xml:space="preserve"> ISO11143</w:t>
            </w:r>
            <w:r w:rsidR="00136B9F">
              <w:rPr>
                <w:rFonts w:ascii="Arial" w:hAnsi="Arial" w:cs="Arial"/>
                <w:sz w:val="18"/>
              </w:rPr>
              <w:t xml:space="preserve"> (2008)</w:t>
            </w:r>
            <w:r>
              <w:rPr>
                <w:rFonts w:ascii="Arial" w:hAnsi="Arial" w:cs="Arial"/>
                <w:sz w:val="18"/>
              </w:rPr>
              <w:t xml:space="preserve">; </w:t>
            </w:r>
            <w:r w:rsidR="00451846">
              <w:rPr>
                <w:rFonts w:ascii="Arial" w:hAnsi="Arial" w:cs="Arial"/>
                <w:sz w:val="18"/>
              </w:rPr>
              <w:t xml:space="preserve">ANSI/ADA 108-2009; </w:t>
            </w:r>
            <w:r>
              <w:rPr>
                <w:rFonts w:ascii="Arial" w:hAnsi="Arial" w:cs="Arial"/>
                <w:sz w:val="18"/>
              </w:rPr>
              <w:t>or,</w:t>
            </w:r>
          </w:p>
          <w:p w14:paraId="390994AC" w14:textId="49C5B06E" w:rsidR="004F7828" w:rsidRPr="003B65A2" w:rsidRDefault="004F7828" w:rsidP="0047696C">
            <w:pPr>
              <w:pStyle w:val="ListParagraph"/>
              <w:numPr>
                <w:ilvl w:val="0"/>
                <w:numId w:val="5"/>
              </w:numPr>
              <w:spacing w:before="240"/>
              <w:rPr>
                <w:rFonts w:ascii="Arial" w:hAnsi="Arial" w:cs="Arial"/>
                <w:sz w:val="18"/>
              </w:rPr>
            </w:pPr>
            <w:r>
              <w:rPr>
                <w:rFonts w:ascii="Arial" w:hAnsi="Arial" w:cs="Arial"/>
                <w:sz w:val="18"/>
              </w:rPr>
              <w:t xml:space="preserve">Amalgam removal device(s) that determine the removal efficiency of the device using the procedures found in </w:t>
            </w:r>
            <w:hyperlink r:id="rId16" w:history="1">
              <w:r w:rsidRPr="00A53883">
                <w:rPr>
                  <w:rStyle w:val="Hyperlink"/>
                  <w:rFonts w:ascii="Arial" w:hAnsi="Arial" w:cs="Arial"/>
                  <w:color w:val="0F6FC6" w:themeColor="accent1"/>
                  <w:sz w:val="18"/>
                </w:rPr>
                <w:t>40CFR §441.30(a)(2)(i)-(ii).</w:t>
              </w:r>
            </w:hyperlink>
            <w:r w:rsidRPr="00A53883">
              <w:rPr>
                <w:rFonts w:ascii="Arial" w:hAnsi="Arial" w:cs="Arial"/>
                <w:color w:val="0F6FC6" w:themeColor="accent1"/>
                <w:sz w:val="18"/>
              </w:rPr>
              <w:t xml:space="preserve">   </w:t>
            </w:r>
          </w:p>
          <w:p w14:paraId="390994AD" w14:textId="77777777" w:rsidR="000B6F01" w:rsidRPr="003B65A2" w:rsidRDefault="000B6F01" w:rsidP="0047696C">
            <w:pPr>
              <w:pStyle w:val="ListParagraph"/>
              <w:numPr>
                <w:ilvl w:val="0"/>
                <w:numId w:val="5"/>
              </w:numPr>
              <w:spacing w:before="240" w:after="200"/>
              <w:rPr>
                <w:rFonts w:ascii="Arial" w:hAnsi="Arial" w:cs="Arial"/>
                <w:sz w:val="18"/>
              </w:rPr>
            </w:pPr>
            <w:r>
              <w:rPr>
                <w:rFonts w:ascii="Arial" w:hAnsi="Arial" w:cs="Arial"/>
                <w:sz w:val="18"/>
              </w:rPr>
              <w:t>Amalgam separator</w:t>
            </w:r>
            <w:r w:rsidR="004F7828">
              <w:rPr>
                <w:rFonts w:ascii="Arial" w:hAnsi="Arial" w:cs="Arial"/>
                <w:sz w:val="18"/>
              </w:rPr>
              <w:t xml:space="preserve">(s) or Amalgam removal device(s) </w:t>
            </w:r>
            <w:r>
              <w:rPr>
                <w:rFonts w:ascii="Arial" w:hAnsi="Arial" w:cs="Arial"/>
                <w:sz w:val="18"/>
              </w:rPr>
              <w:t>must achieve 95% removal efficiency.</w:t>
            </w:r>
          </w:p>
        </w:tc>
      </w:tr>
      <w:tr w:rsidR="003B65A2" w:rsidRPr="006D725B" w14:paraId="390994B6" w14:textId="77777777" w:rsidTr="0047696C">
        <w:tc>
          <w:tcPr>
            <w:tcW w:w="2178" w:type="dxa"/>
          </w:tcPr>
          <w:p w14:paraId="390994AF" w14:textId="77777777" w:rsidR="003B65A2" w:rsidRPr="003B65A2" w:rsidRDefault="003B65A2" w:rsidP="0047696C">
            <w:pPr>
              <w:spacing w:before="240"/>
              <w:rPr>
                <w:rFonts w:ascii="Arial" w:hAnsi="Arial" w:cs="Arial"/>
                <w:b/>
                <w:sz w:val="18"/>
              </w:rPr>
            </w:pPr>
            <w:r w:rsidRPr="003B65A2">
              <w:rPr>
                <w:rFonts w:ascii="Arial" w:hAnsi="Arial" w:cs="Arial"/>
                <w:b/>
                <w:sz w:val="18"/>
              </w:rPr>
              <w:t>When will this rule affect dental offices?</w:t>
            </w:r>
            <w:r w:rsidRPr="003B65A2">
              <w:rPr>
                <w:rFonts w:ascii="Arial" w:hAnsi="Arial" w:cs="Arial"/>
                <w:b/>
                <w:sz w:val="18"/>
                <w:vertAlign w:val="superscript"/>
              </w:rPr>
              <w:t>2</w:t>
            </w:r>
          </w:p>
        </w:tc>
        <w:tc>
          <w:tcPr>
            <w:tcW w:w="7398" w:type="dxa"/>
            <w:gridSpan w:val="2"/>
          </w:tcPr>
          <w:p w14:paraId="390994B0" w14:textId="77777777" w:rsidR="009C7A90" w:rsidRDefault="009C7A90" w:rsidP="0047696C">
            <w:pPr>
              <w:spacing w:before="240"/>
              <w:rPr>
                <w:rFonts w:ascii="Arial" w:hAnsi="Arial" w:cs="Arial"/>
                <w:sz w:val="18"/>
              </w:rPr>
            </w:pPr>
            <w:r>
              <w:rPr>
                <w:rFonts w:ascii="Arial" w:hAnsi="Arial" w:cs="Arial"/>
                <w:sz w:val="18"/>
              </w:rPr>
              <w:t>The Effective Date of this rule is July 14, 2017.</w:t>
            </w:r>
          </w:p>
          <w:p w14:paraId="390994B1" w14:textId="77777777" w:rsidR="003B65A2" w:rsidRPr="003B65A2" w:rsidRDefault="003B65A2" w:rsidP="009C7A90">
            <w:pPr>
              <w:rPr>
                <w:rFonts w:ascii="Arial" w:hAnsi="Arial" w:cs="Arial"/>
                <w:sz w:val="18"/>
              </w:rPr>
            </w:pPr>
            <w:r w:rsidRPr="003B65A2">
              <w:rPr>
                <w:rFonts w:ascii="Arial" w:hAnsi="Arial" w:cs="Arial"/>
                <w:sz w:val="18"/>
              </w:rPr>
              <w:t>NEW dental offices:</w:t>
            </w:r>
          </w:p>
          <w:p w14:paraId="390994B2" w14:textId="77777777" w:rsidR="003B65A2" w:rsidRPr="003B65A2" w:rsidRDefault="003B65A2" w:rsidP="0047696C">
            <w:pPr>
              <w:pStyle w:val="ListParagraph"/>
              <w:numPr>
                <w:ilvl w:val="0"/>
                <w:numId w:val="6"/>
              </w:numPr>
              <w:rPr>
                <w:rFonts w:ascii="Arial" w:hAnsi="Arial" w:cs="Arial"/>
                <w:sz w:val="18"/>
              </w:rPr>
            </w:pPr>
            <w:r w:rsidRPr="003B65A2">
              <w:rPr>
                <w:rFonts w:ascii="Arial" w:hAnsi="Arial" w:cs="Arial"/>
                <w:sz w:val="18"/>
              </w:rPr>
              <w:t xml:space="preserve">MUST return One-Time </w:t>
            </w:r>
            <w:r w:rsidR="009C7A90">
              <w:rPr>
                <w:rFonts w:ascii="Arial" w:hAnsi="Arial" w:cs="Arial"/>
                <w:sz w:val="18"/>
              </w:rPr>
              <w:t>Compliance Report within 90 days following the introduction of wastewater to the sanitary sewer</w:t>
            </w:r>
            <w:r w:rsidRPr="003B65A2">
              <w:rPr>
                <w:rFonts w:ascii="Arial" w:hAnsi="Arial" w:cs="Arial"/>
                <w:sz w:val="18"/>
              </w:rPr>
              <w:t>.</w:t>
            </w:r>
          </w:p>
          <w:p w14:paraId="390994B3" w14:textId="77777777" w:rsidR="003B65A2" w:rsidRPr="003B65A2" w:rsidRDefault="009C7A90" w:rsidP="0047696C">
            <w:pPr>
              <w:rPr>
                <w:rFonts w:ascii="Arial" w:hAnsi="Arial" w:cs="Arial"/>
                <w:sz w:val="18"/>
              </w:rPr>
            </w:pPr>
            <w:r>
              <w:rPr>
                <w:rFonts w:ascii="Arial" w:hAnsi="Arial" w:cs="Arial"/>
                <w:sz w:val="18"/>
              </w:rPr>
              <w:t>TRANSFER OF OWNERSHIP</w:t>
            </w:r>
            <w:r w:rsidR="003B65A2" w:rsidRPr="003B65A2">
              <w:rPr>
                <w:rFonts w:ascii="Arial" w:hAnsi="Arial" w:cs="Arial"/>
                <w:sz w:val="18"/>
              </w:rPr>
              <w:t>:</w:t>
            </w:r>
          </w:p>
          <w:p w14:paraId="390994B4" w14:textId="77777777" w:rsidR="003B65A2" w:rsidRPr="003B65A2" w:rsidRDefault="003B65A2" w:rsidP="0047696C">
            <w:pPr>
              <w:pStyle w:val="ListParagraph"/>
              <w:numPr>
                <w:ilvl w:val="0"/>
                <w:numId w:val="6"/>
              </w:numPr>
              <w:rPr>
                <w:rFonts w:ascii="Arial" w:hAnsi="Arial" w:cs="Arial"/>
                <w:sz w:val="18"/>
              </w:rPr>
            </w:pPr>
            <w:r w:rsidRPr="003B65A2">
              <w:rPr>
                <w:rFonts w:ascii="Arial" w:hAnsi="Arial" w:cs="Arial"/>
                <w:sz w:val="18"/>
              </w:rPr>
              <w:t xml:space="preserve">MUST return One-Time Compliance Report within </w:t>
            </w:r>
            <w:r w:rsidR="009C7A90">
              <w:rPr>
                <w:rFonts w:ascii="Arial" w:hAnsi="Arial" w:cs="Arial"/>
                <w:sz w:val="18"/>
              </w:rPr>
              <w:t>90 days after a transfer of ownership</w:t>
            </w:r>
            <w:r w:rsidRPr="003B65A2">
              <w:rPr>
                <w:rFonts w:ascii="Arial" w:hAnsi="Arial" w:cs="Arial"/>
                <w:sz w:val="18"/>
              </w:rPr>
              <w:t>.</w:t>
            </w:r>
          </w:p>
          <w:p w14:paraId="390994B5" w14:textId="77777777" w:rsidR="003B65A2" w:rsidRPr="003B65A2" w:rsidRDefault="003B65A2" w:rsidP="0047696C">
            <w:pPr>
              <w:rPr>
                <w:rFonts w:ascii="Arial" w:hAnsi="Arial" w:cs="Arial"/>
                <w:sz w:val="18"/>
              </w:rPr>
            </w:pPr>
          </w:p>
        </w:tc>
      </w:tr>
      <w:tr w:rsidR="003B65A2" w:rsidRPr="006D725B" w14:paraId="390994BD" w14:textId="77777777" w:rsidTr="0047696C">
        <w:tc>
          <w:tcPr>
            <w:tcW w:w="2178" w:type="dxa"/>
          </w:tcPr>
          <w:p w14:paraId="390994B7" w14:textId="77777777" w:rsidR="003B65A2" w:rsidRPr="003B65A2" w:rsidRDefault="003B65A2" w:rsidP="0047696C">
            <w:pPr>
              <w:spacing w:before="240"/>
              <w:rPr>
                <w:rFonts w:ascii="Arial" w:hAnsi="Arial" w:cs="Arial"/>
                <w:b/>
                <w:sz w:val="18"/>
              </w:rPr>
            </w:pPr>
            <w:r w:rsidRPr="003B65A2">
              <w:rPr>
                <w:rFonts w:ascii="Arial" w:hAnsi="Arial" w:cs="Arial"/>
                <w:b/>
                <w:sz w:val="18"/>
              </w:rPr>
              <w:t>What steps are needed to be taken to come into compliance?</w:t>
            </w:r>
          </w:p>
        </w:tc>
        <w:tc>
          <w:tcPr>
            <w:tcW w:w="7398" w:type="dxa"/>
            <w:gridSpan w:val="2"/>
          </w:tcPr>
          <w:p w14:paraId="390994B8" w14:textId="77777777" w:rsidR="003B65A2" w:rsidRPr="003B65A2" w:rsidRDefault="003B65A2" w:rsidP="0047696C">
            <w:pPr>
              <w:pStyle w:val="ListParagraph"/>
              <w:numPr>
                <w:ilvl w:val="0"/>
                <w:numId w:val="10"/>
              </w:numPr>
              <w:spacing w:before="240"/>
              <w:rPr>
                <w:rFonts w:ascii="Arial" w:hAnsi="Arial" w:cs="Arial"/>
                <w:sz w:val="18"/>
              </w:rPr>
            </w:pPr>
            <w:r w:rsidRPr="003B65A2">
              <w:rPr>
                <w:rFonts w:ascii="Arial" w:hAnsi="Arial" w:cs="Arial"/>
                <w:sz w:val="18"/>
              </w:rPr>
              <w:t>Install new amalgam separator</w:t>
            </w:r>
            <w:r w:rsidR="00B66E76">
              <w:rPr>
                <w:rFonts w:ascii="Arial" w:hAnsi="Arial" w:cs="Arial"/>
                <w:sz w:val="18"/>
              </w:rPr>
              <w:t xml:space="preserve">(s) or amalgam removal device(s) </w:t>
            </w:r>
            <w:r w:rsidRPr="003B65A2">
              <w:rPr>
                <w:rFonts w:ascii="Arial" w:hAnsi="Arial" w:cs="Arial"/>
                <w:sz w:val="18"/>
              </w:rPr>
              <w:t>in offices that do not currently have one.</w:t>
            </w:r>
          </w:p>
          <w:p w14:paraId="390994B9" w14:textId="77777777" w:rsidR="003B65A2" w:rsidRDefault="003B65A2" w:rsidP="0047696C">
            <w:pPr>
              <w:pStyle w:val="ListParagraph"/>
              <w:numPr>
                <w:ilvl w:val="0"/>
                <w:numId w:val="10"/>
              </w:numPr>
              <w:spacing w:before="240"/>
              <w:rPr>
                <w:rFonts w:ascii="Arial" w:hAnsi="Arial" w:cs="Arial"/>
                <w:sz w:val="18"/>
              </w:rPr>
            </w:pPr>
            <w:r w:rsidRPr="003B65A2">
              <w:rPr>
                <w:rFonts w:ascii="Arial" w:hAnsi="Arial" w:cs="Arial"/>
                <w:sz w:val="18"/>
              </w:rPr>
              <w:t>Inspect existing models to make sure they are up to standard.</w:t>
            </w:r>
          </w:p>
          <w:p w14:paraId="390994BA" w14:textId="77777777" w:rsidR="00136B9F" w:rsidRPr="003B65A2" w:rsidRDefault="00136B9F" w:rsidP="0047696C">
            <w:pPr>
              <w:pStyle w:val="ListParagraph"/>
              <w:numPr>
                <w:ilvl w:val="0"/>
                <w:numId w:val="10"/>
              </w:numPr>
              <w:spacing w:before="240"/>
              <w:rPr>
                <w:rFonts w:ascii="Arial" w:hAnsi="Arial" w:cs="Arial"/>
                <w:sz w:val="18"/>
              </w:rPr>
            </w:pPr>
            <w:r>
              <w:rPr>
                <w:rFonts w:ascii="Arial" w:hAnsi="Arial" w:cs="Arial"/>
                <w:sz w:val="18"/>
              </w:rPr>
              <w:t xml:space="preserve">Establish internal documentation tracking procedures related to the inspection and maintenance of your </w:t>
            </w:r>
            <w:r w:rsidR="00B66E76" w:rsidRPr="003B65A2">
              <w:rPr>
                <w:rFonts w:ascii="Arial" w:hAnsi="Arial" w:cs="Arial"/>
                <w:sz w:val="18"/>
              </w:rPr>
              <w:t>amalgam separator</w:t>
            </w:r>
            <w:r w:rsidR="00B66E76">
              <w:rPr>
                <w:rFonts w:ascii="Arial" w:hAnsi="Arial" w:cs="Arial"/>
                <w:sz w:val="18"/>
              </w:rPr>
              <w:t>(s) or amalgam removal device(s).</w:t>
            </w:r>
          </w:p>
          <w:p w14:paraId="390994BB" w14:textId="77777777" w:rsidR="003B65A2" w:rsidRPr="003B65A2" w:rsidRDefault="003B65A2" w:rsidP="0047696C">
            <w:pPr>
              <w:pStyle w:val="ListParagraph"/>
              <w:numPr>
                <w:ilvl w:val="0"/>
                <w:numId w:val="10"/>
              </w:numPr>
              <w:spacing w:before="240"/>
              <w:rPr>
                <w:rFonts w:ascii="Arial" w:hAnsi="Arial" w:cs="Arial"/>
                <w:sz w:val="18"/>
              </w:rPr>
            </w:pPr>
            <w:r w:rsidRPr="003B65A2">
              <w:rPr>
                <w:rFonts w:ascii="Arial" w:hAnsi="Arial" w:cs="Arial"/>
                <w:sz w:val="18"/>
              </w:rPr>
              <w:t>Follow the ADA’s Best Management Practices for handling dental amalgam.</w:t>
            </w:r>
          </w:p>
          <w:p w14:paraId="390994BC" w14:textId="77777777" w:rsidR="003B51A1" w:rsidRPr="00136B9F" w:rsidRDefault="003B65A2" w:rsidP="00136B9F">
            <w:pPr>
              <w:pStyle w:val="ListParagraph"/>
              <w:numPr>
                <w:ilvl w:val="0"/>
                <w:numId w:val="10"/>
              </w:numPr>
              <w:spacing w:before="240" w:after="200"/>
              <w:rPr>
                <w:rFonts w:ascii="Arial" w:hAnsi="Arial" w:cs="Arial"/>
                <w:sz w:val="18"/>
              </w:rPr>
            </w:pPr>
            <w:r w:rsidRPr="003B65A2">
              <w:rPr>
                <w:rFonts w:ascii="Arial" w:hAnsi="Arial" w:cs="Arial"/>
                <w:sz w:val="18"/>
              </w:rPr>
              <w:t xml:space="preserve">Complete the One-Time Compliance Report for Dental Discharges. MUST be returned to </w:t>
            </w:r>
            <w:r w:rsidR="003B51A1">
              <w:rPr>
                <w:rFonts w:ascii="Arial" w:hAnsi="Arial" w:cs="Arial"/>
                <w:sz w:val="18"/>
              </w:rPr>
              <w:t xml:space="preserve">the </w:t>
            </w:r>
            <w:r w:rsidRPr="003B65A2">
              <w:rPr>
                <w:rFonts w:ascii="Arial" w:hAnsi="Arial" w:cs="Arial"/>
                <w:sz w:val="18"/>
              </w:rPr>
              <w:t xml:space="preserve">Control Authority </w:t>
            </w:r>
            <w:r w:rsidR="003B51A1">
              <w:rPr>
                <w:rFonts w:ascii="Arial" w:hAnsi="Arial" w:cs="Arial"/>
                <w:sz w:val="18"/>
              </w:rPr>
              <w:t xml:space="preserve">(TRA) </w:t>
            </w:r>
            <w:r w:rsidRPr="003B65A2">
              <w:rPr>
                <w:rFonts w:ascii="Arial" w:hAnsi="Arial" w:cs="Arial"/>
                <w:sz w:val="18"/>
              </w:rPr>
              <w:t>AND the City</w:t>
            </w:r>
            <w:r w:rsidR="003B51A1">
              <w:rPr>
                <w:rFonts w:ascii="Arial" w:hAnsi="Arial" w:cs="Arial"/>
                <w:sz w:val="18"/>
              </w:rPr>
              <w:t>/Town</w:t>
            </w:r>
            <w:r w:rsidRPr="003B65A2">
              <w:rPr>
                <w:rFonts w:ascii="Arial" w:hAnsi="Arial" w:cs="Arial"/>
                <w:sz w:val="18"/>
              </w:rPr>
              <w:t>.</w:t>
            </w:r>
            <w:r w:rsidR="003B51A1">
              <w:rPr>
                <w:rFonts w:ascii="Arial" w:hAnsi="Arial" w:cs="Arial"/>
                <w:sz w:val="18"/>
              </w:rPr>
              <w:t xml:space="preserve"> Retain a copy of this report on site for the duration of your practice/ownership.</w:t>
            </w:r>
          </w:p>
        </w:tc>
      </w:tr>
    </w:tbl>
    <w:p w14:paraId="390994BE" w14:textId="77777777" w:rsidR="00206969" w:rsidRDefault="00206969" w:rsidP="00206969">
      <w:pPr>
        <w:rPr>
          <w:rFonts w:ascii="Arial" w:hAnsi="Arial" w:cs="Arial"/>
          <w:b/>
          <w:sz w:val="20"/>
        </w:rPr>
      </w:pPr>
    </w:p>
    <w:p w14:paraId="390994BF" w14:textId="4026F0CB" w:rsidR="00206969" w:rsidRPr="006D725B" w:rsidRDefault="00206969" w:rsidP="00206969">
      <w:pPr>
        <w:rPr>
          <w:rFonts w:ascii="Arial" w:hAnsi="Arial" w:cs="Arial"/>
          <w:b/>
          <w:sz w:val="20"/>
        </w:rPr>
      </w:pPr>
      <w:r w:rsidRPr="006D725B">
        <w:rPr>
          <w:rFonts w:ascii="Arial" w:hAnsi="Arial" w:cs="Arial"/>
          <w:b/>
          <w:sz w:val="20"/>
        </w:rPr>
        <w:t xml:space="preserve">ONE-TIME COMPLIANCE REPORT MUST BE RETURNED TO </w:t>
      </w:r>
      <w:r>
        <w:rPr>
          <w:rFonts w:ascii="Arial" w:hAnsi="Arial" w:cs="Arial"/>
          <w:b/>
          <w:sz w:val="20"/>
        </w:rPr>
        <w:t>TRA</w:t>
      </w:r>
      <w:r w:rsidRPr="006D725B">
        <w:rPr>
          <w:rFonts w:ascii="Arial" w:hAnsi="Arial" w:cs="Arial"/>
          <w:b/>
          <w:sz w:val="20"/>
        </w:rPr>
        <w:t xml:space="preserve"> AND THE </w:t>
      </w:r>
      <w:r>
        <w:rPr>
          <w:rFonts w:ascii="Arial" w:hAnsi="Arial" w:cs="Arial"/>
          <w:b/>
          <w:sz w:val="20"/>
        </w:rPr>
        <w:t>[Insert contracting part name]</w:t>
      </w:r>
      <w:r w:rsidRPr="006D725B">
        <w:rPr>
          <w:rFonts w:ascii="Arial" w:hAnsi="Arial" w:cs="Arial"/>
          <w:b/>
          <w:sz w:val="20"/>
        </w:rPr>
        <w:t xml:space="preserve"> </w:t>
      </w:r>
      <w:r>
        <w:rPr>
          <w:rFonts w:ascii="Arial" w:hAnsi="Arial" w:cs="Arial"/>
          <w:b/>
          <w:sz w:val="20"/>
        </w:rPr>
        <w:t>WITHIN 90 DAYS FOLLOWING THE INTRODUCTION OF</w:t>
      </w:r>
      <w:r w:rsidR="00451846">
        <w:rPr>
          <w:rFonts w:ascii="Arial" w:hAnsi="Arial" w:cs="Arial"/>
          <w:b/>
          <w:sz w:val="20"/>
        </w:rPr>
        <w:t xml:space="preserve"> AMALGAM</w:t>
      </w:r>
      <w:r>
        <w:rPr>
          <w:rFonts w:ascii="Arial" w:hAnsi="Arial" w:cs="Arial"/>
          <w:b/>
          <w:sz w:val="20"/>
        </w:rPr>
        <w:t xml:space="preserve"> WASTEWATER INTO THE SANITARY SEWER OR 90 DAYS AFTER A TRANSFER OF OWNERSHIP. PLEASE EMAIL FORM TO BOTH PARTIES.</w:t>
      </w:r>
    </w:p>
    <w:p w14:paraId="390994C0" w14:textId="77777777" w:rsidR="005D51DF" w:rsidRPr="00451846" w:rsidRDefault="0077773B" w:rsidP="0077773B">
      <w:pPr>
        <w:pStyle w:val="Title"/>
        <w:rPr>
          <w:rFonts w:ascii="Arial" w:hAnsi="Arial" w:cs="Arial"/>
          <w:color w:val="7CCA62" w:themeColor="accent5"/>
          <w:sz w:val="56"/>
          <w:szCs w:val="60"/>
        </w:rPr>
      </w:pPr>
      <w:r w:rsidRPr="00451846">
        <w:rPr>
          <w:rFonts w:ascii="Arial" w:hAnsi="Arial" w:cs="Arial"/>
          <w:color w:val="7CCA62" w:themeColor="accent5"/>
          <w:sz w:val="56"/>
          <w:szCs w:val="60"/>
        </w:rPr>
        <w:lastRenderedPageBreak/>
        <w:t>American Dental Association</w:t>
      </w:r>
    </w:p>
    <w:p w14:paraId="390994C1" w14:textId="77777777" w:rsidR="00FC1C22" w:rsidRPr="00C27402" w:rsidRDefault="0077773B" w:rsidP="00FC1C22">
      <w:pPr>
        <w:pStyle w:val="Heading1"/>
        <w:rPr>
          <w:rFonts w:ascii="Arial" w:hAnsi="Arial" w:cs="Arial"/>
        </w:rPr>
      </w:pPr>
      <w:r w:rsidRPr="00C27402">
        <w:rPr>
          <w:rFonts w:ascii="Arial" w:hAnsi="Arial" w:cs="Arial"/>
        </w:rPr>
        <w:t>Amalgam Waste Best Management Practices</w:t>
      </w:r>
      <w:r w:rsidR="006D725B" w:rsidRPr="00C27402">
        <w:rPr>
          <w:rFonts w:ascii="Arial" w:hAnsi="Arial" w:cs="Arial"/>
          <w:vertAlign w:val="superscript"/>
        </w:rPr>
        <w:t>3</w:t>
      </w:r>
    </w:p>
    <w:p w14:paraId="390994C2" w14:textId="77777777" w:rsidR="00FC1C22" w:rsidRPr="00C27402" w:rsidRDefault="00FC1C22" w:rsidP="00FC1C22">
      <w:pPr>
        <w:rPr>
          <w:rFonts w:ascii="Arial" w:hAnsi="Arial" w:cs="Arial"/>
        </w:rPr>
      </w:pPr>
      <w:r w:rsidRPr="00C27402">
        <w:rPr>
          <w:rFonts w:ascii="Arial" w:hAnsi="Arial" w:cs="Arial"/>
        </w:rPr>
        <w:t>These Best Management Practices for Amalgam Waste encourages the dental community to follow the BMP for proper waste handling and disposal. The BMP by the American Dental Association calls for the use of ISO 11143-compliant amalgam separator as a recommendation. The ADA’s BMP on Amalgam Waste follows the procedures outlined in the EPA’s final rule on amalgam separators.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FC1C22" w:rsidRPr="00C27402" w14:paraId="390994D3" w14:textId="77777777" w:rsidTr="00C27402">
        <w:trPr>
          <w:trHeight w:val="4707"/>
        </w:trPr>
        <w:tc>
          <w:tcPr>
            <w:tcW w:w="4788" w:type="dxa"/>
          </w:tcPr>
          <w:p w14:paraId="390994C3" w14:textId="77777777" w:rsidR="00FC1C22" w:rsidRPr="00C27402" w:rsidRDefault="00FC1C22" w:rsidP="00C27402">
            <w:pPr>
              <w:pStyle w:val="Heading2"/>
              <w:ind w:left="360"/>
              <w:outlineLvl w:val="1"/>
              <w:rPr>
                <w:rFonts w:ascii="Arial" w:hAnsi="Arial" w:cs="Arial"/>
                <w:sz w:val="36"/>
              </w:rPr>
            </w:pPr>
            <w:r w:rsidRPr="00C27402">
              <w:rPr>
                <w:rFonts w:ascii="Arial" w:hAnsi="Arial" w:cs="Arial"/>
                <w:sz w:val="36"/>
              </w:rPr>
              <w:t>Do:</w:t>
            </w:r>
          </w:p>
          <w:p w14:paraId="390994C4" w14:textId="77777777" w:rsidR="00FC1C22" w:rsidRPr="00C27402" w:rsidRDefault="00FC1C22" w:rsidP="00C27402">
            <w:pPr>
              <w:pStyle w:val="ListParagraph"/>
              <w:numPr>
                <w:ilvl w:val="0"/>
                <w:numId w:val="14"/>
              </w:numPr>
              <w:rPr>
                <w:rFonts w:ascii="Arial" w:hAnsi="Arial" w:cs="Arial"/>
              </w:rPr>
            </w:pPr>
            <w:r w:rsidRPr="00C27402">
              <w:rPr>
                <w:rFonts w:ascii="Arial" w:hAnsi="Arial" w:cs="Arial"/>
              </w:rPr>
              <w:t xml:space="preserve">Use precapsulated alloys &amp; stock </w:t>
            </w:r>
            <w:r w:rsidR="00C27402" w:rsidRPr="00C27402">
              <w:rPr>
                <w:rFonts w:ascii="Arial" w:hAnsi="Arial" w:cs="Arial"/>
              </w:rPr>
              <w:t>capsule size variety</w:t>
            </w:r>
          </w:p>
          <w:p w14:paraId="390994C5" w14:textId="77777777" w:rsidR="00FC1C22" w:rsidRPr="00C27402" w:rsidRDefault="00FC1C22" w:rsidP="00C27402">
            <w:pPr>
              <w:pStyle w:val="ListParagraph"/>
              <w:numPr>
                <w:ilvl w:val="0"/>
                <w:numId w:val="14"/>
              </w:numPr>
              <w:rPr>
                <w:rFonts w:ascii="Arial" w:hAnsi="Arial" w:cs="Arial"/>
              </w:rPr>
            </w:pPr>
            <w:r w:rsidRPr="00C27402">
              <w:rPr>
                <w:rFonts w:ascii="Arial" w:hAnsi="Arial" w:cs="Arial"/>
              </w:rPr>
              <w:t>Recycle used disposable amalgam capsules</w:t>
            </w:r>
          </w:p>
          <w:p w14:paraId="390994C6" w14:textId="77777777" w:rsidR="00FC1C22" w:rsidRPr="00C27402" w:rsidRDefault="00FC1C22" w:rsidP="00C27402">
            <w:pPr>
              <w:pStyle w:val="ListParagraph"/>
              <w:numPr>
                <w:ilvl w:val="0"/>
                <w:numId w:val="14"/>
              </w:numPr>
              <w:rPr>
                <w:rFonts w:ascii="Arial" w:hAnsi="Arial" w:cs="Arial"/>
              </w:rPr>
            </w:pPr>
            <w:r w:rsidRPr="00C27402">
              <w:rPr>
                <w:rFonts w:ascii="Arial" w:hAnsi="Arial" w:cs="Arial"/>
              </w:rPr>
              <w:t>Salvage, store, &amp; recycle non-contact amalgam</w:t>
            </w:r>
          </w:p>
          <w:p w14:paraId="390994C7" w14:textId="77777777" w:rsidR="00FC1C22" w:rsidRPr="00C27402" w:rsidRDefault="00FC1C22" w:rsidP="00C27402">
            <w:pPr>
              <w:pStyle w:val="ListParagraph"/>
              <w:numPr>
                <w:ilvl w:val="0"/>
                <w:numId w:val="14"/>
              </w:numPr>
              <w:rPr>
                <w:rFonts w:ascii="Arial" w:hAnsi="Arial" w:cs="Arial"/>
              </w:rPr>
            </w:pPr>
            <w:r w:rsidRPr="00C27402">
              <w:rPr>
                <w:rFonts w:ascii="Arial" w:hAnsi="Arial" w:cs="Arial"/>
              </w:rPr>
              <w:t>Salvage contact amalgam pieces from restorations after removal &amp; recycle contents</w:t>
            </w:r>
          </w:p>
          <w:p w14:paraId="390994C8" w14:textId="77777777" w:rsidR="00C27402" w:rsidRPr="00C27402" w:rsidRDefault="00C27402" w:rsidP="00C27402">
            <w:pPr>
              <w:pStyle w:val="ListParagraph"/>
              <w:numPr>
                <w:ilvl w:val="0"/>
                <w:numId w:val="14"/>
              </w:numPr>
              <w:rPr>
                <w:rFonts w:ascii="Arial" w:hAnsi="Arial" w:cs="Arial"/>
              </w:rPr>
            </w:pPr>
            <w:r w:rsidRPr="00C27402">
              <w:rPr>
                <w:rFonts w:ascii="Arial" w:hAnsi="Arial" w:cs="Arial"/>
              </w:rPr>
              <w:t>Recycle teeth containing dental amalgam restorations &amp; verify whether or not teeth need disinfection</w:t>
            </w:r>
          </w:p>
          <w:p w14:paraId="390994C9" w14:textId="77777777" w:rsidR="00C27402" w:rsidRPr="00C27402" w:rsidRDefault="00C27402" w:rsidP="00C27402">
            <w:pPr>
              <w:pStyle w:val="ListParagraph"/>
              <w:numPr>
                <w:ilvl w:val="0"/>
                <w:numId w:val="14"/>
              </w:numPr>
              <w:rPr>
                <w:rFonts w:ascii="Arial" w:hAnsi="Arial" w:cs="Arial"/>
              </w:rPr>
            </w:pPr>
            <w:r w:rsidRPr="00C27402">
              <w:rPr>
                <w:rFonts w:ascii="Arial" w:hAnsi="Arial" w:cs="Arial"/>
              </w:rPr>
              <w:t>Manage amalgam waste through recycling as much as possible</w:t>
            </w:r>
          </w:p>
          <w:p w14:paraId="390994CA" w14:textId="77777777" w:rsidR="00C27402" w:rsidRPr="00C27402" w:rsidRDefault="00C27402" w:rsidP="00C27402">
            <w:pPr>
              <w:pStyle w:val="ListParagraph"/>
              <w:numPr>
                <w:ilvl w:val="0"/>
                <w:numId w:val="14"/>
              </w:numPr>
              <w:rPr>
                <w:rFonts w:ascii="Arial" w:hAnsi="Arial" w:cs="Arial"/>
              </w:rPr>
            </w:pPr>
            <w:r w:rsidRPr="00C27402">
              <w:rPr>
                <w:rFonts w:ascii="Arial" w:hAnsi="Arial" w:cs="Arial"/>
              </w:rPr>
              <w:t>Use line cleaners that minimize dissolution of amalgam</w:t>
            </w:r>
          </w:p>
        </w:tc>
        <w:tc>
          <w:tcPr>
            <w:tcW w:w="4788" w:type="dxa"/>
          </w:tcPr>
          <w:p w14:paraId="390994CB" w14:textId="77777777" w:rsidR="00FC1C22" w:rsidRPr="00C27402" w:rsidRDefault="00C27402" w:rsidP="00C27402">
            <w:pPr>
              <w:pStyle w:val="Heading2"/>
              <w:ind w:left="360"/>
              <w:outlineLvl w:val="1"/>
              <w:rPr>
                <w:rFonts w:ascii="Arial" w:hAnsi="Arial" w:cs="Arial"/>
                <w:sz w:val="36"/>
              </w:rPr>
            </w:pPr>
            <w:r w:rsidRPr="00C27402">
              <w:rPr>
                <w:rFonts w:ascii="Arial" w:hAnsi="Arial" w:cs="Arial"/>
                <w:sz w:val="36"/>
              </w:rPr>
              <w:t>Don’t</w:t>
            </w:r>
            <w:r w:rsidR="00116586">
              <w:rPr>
                <w:rFonts w:ascii="Arial" w:hAnsi="Arial" w:cs="Arial"/>
                <w:sz w:val="36"/>
              </w:rPr>
              <w:t>:</w:t>
            </w:r>
          </w:p>
          <w:p w14:paraId="390994CC" w14:textId="77777777" w:rsidR="00C27402" w:rsidRPr="00C27402" w:rsidRDefault="00C27402" w:rsidP="00C27402">
            <w:pPr>
              <w:pStyle w:val="ListParagraph"/>
              <w:numPr>
                <w:ilvl w:val="0"/>
                <w:numId w:val="14"/>
              </w:numPr>
              <w:rPr>
                <w:rFonts w:ascii="Arial" w:hAnsi="Arial" w:cs="Arial"/>
              </w:rPr>
            </w:pPr>
            <w:r w:rsidRPr="00C27402">
              <w:rPr>
                <w:rFonts w:ascii="Arial" w:hAnsi="Arial" w:cs="Arial"/>
              </w:rPr>
              <w:t>Use bulk mercury</w:t>
            </w:r>
          </w:p>
          <w:p w14:paraId="390994CD" w14:textId="77777777" w:rsidR="00C27402" w:rsidRPr="00C27402" w:rsidRDefault="00C27402" w:rsidP="00C27402">
            <w:pPr>
              <w:pStyle w:val="ListParagraph"/>
              <w:numPr>
                <w:ilvl w:val="0"/>
                <w:numId w:val="14"/>
              </w:numPr>
              <w:rPr>
                <w:rFonts w:ascii="Arial" w:hAnsi="Arial" w:cs="Arial"/>
              </w:rPr>
            </w:pPr>
            <w:r w:rsidRPr="00C27402">
              <w:rPr>
                <w:rFonts w:ascii="Arial" w:hAnsi="Arial" w:cs="Arial"/>
              </w:rPr>
              <w:t>Put used disposable amalgam capsules in biohazard containers</w:t>
            </w:r>
          </w:p>
          <w:p w14:paraId="390994CE" w14:textId="77777777" w:rsidR="00C27402" w:rsidRPr="00C27402" w:rsidRDefault="00C27402" w:rsidP="00C27402">
            <w:pPr>
              <w:pStyle w:val="ListParagraph"/>
              <w:numPr>
                <w:ilvl w:val="0"/>
                <w:numId w:val="14"/>
              </w:numPr>
              <w:rPr>
                <w:rFonts w:ascii="Arial" w:hAnsi="Arial" w:cs="Arial"/>
              </w:rPr>
            </w:pPr>
            <w:r w:rsidRPr="00C27402">
              <w:rPr>
                <w:rFonts w:ascii="Arial" w:hAnsi="Arial" w:cs="Arial"/>
              </w:rPr>
              <w:t>Put non-contact amalgam waste in biohazard containers, infectious waste containers, or regular garbage</w:t>
            </w:r>
          </w:p>
          <w:p w14:paraId="390994CF" w14:textId="77777777" w:rsidR="00C27402" w:rsidRPr="00C27402" w:rsidRDefault="00C27402" w:rsidP="00C27402">
            <w:pPr>
              <w:pStyle w:val="ListParagraph"/>
              <w:numPr>
                <w:ilvl w:val="0"/>
                <w:numId w:val="14"/>
              </w:numPr>
              <w:rPr>
                <w:rFonts w:ascii="Arial" w:hAnsi="Arial" w:cs="Arial"/>
              </w:rPr>
            </w:pPr>
            <w:r w:rsidRPr="00C27402">
              <w:rPr>
                <w:rFonts w:ascii="Arial" w:hAnsi="Arial" w:cs="Arial"/>
              </w:rPr>
              <w:t>Ri</w:t>
            </w:r>
            <w:r w:rsidR="00184956">
              <w:rPr>
                <w:rFonts w:ascii="Arial" w:hAnsi="Arial" w:cs="Arial"/>
              </w:rPr>
              <w:t>n</w:t>
            </w:r>
            <w:r w:rsidRPr="00C27402">
              <w:rPr>
                <w:rFonts w:ascii="Arial" w:hAnsi="Arial" w:cs="Arial"/>
              </w:rPr>
              <w:t>se devices containing amalgam over drains or sinks</w:t>
            </w:r>
          </w:p>
          <w:p w14:paraId="390994D0" w14:textId="77777777" w:rsidR="00C27402" w:rsidRPr="00C27402" w:rsidRDefault="00C27402" w:rsidP="00C27402">
            <w:pPr>
              <w:pStyle w:val="ListParagraph"/>
              <w:numPr>
                <w:ilvl w:val="0"/>
                <w:numId w:val="14"/>
              </w:numPr>
              <w:rPr>
                <w:rFonts w:ascii="Arial" w:hAnsi="Arial" w:cs="Arial"/>
              </w:rPr>
            </w:pPr>
            <w:r w:rsidRPr="00C27402">
              <w:rPr>
                <w:rFonts w:ascii="Arial" w:hAnsi="Arial" w:cs="Arial"/>
              </w:rPr>
              <w:t>Dispose of extracted teeth that contain amalgam restorations in biohazard containers. Infectious waste containers, sharps containers, or regular garbage</w:t>
            </w:r>
          </w:p>
          <w:p w14:paraId="390994D1" w14:textId="77777777" w:rsidR="00C27402" w:rsidRPr="00C27402" w:rsidRDefault="00C27402" w:rsidP="00C27402">
            <w:pPr>
              <w:pStyle w:val="ListParagraph"/>
              <w:numPr>
                <w:ilvl w:val="0"/>
                <w:numId w:val="14"/>
              </w:numPr>
              <w:rPr>
                <w:rFonts w:ascii="Arial" w:hAnsi="Arial" w:cs="Arial"/>
              </w:rPr>
            </w:pPr>
            <w:r w:rsidRPr="00C27402">
              <w:rPr>
                <w:rFonts w:ascii="Arial" w:hAnsi="Arial" w:cs="Arial"/>
              </w:rPr>
              <w:t>Flush amalgam down the drain/toilet</w:t>
            </w:r>
          </w:p>
          <w:p w14:paraId="390994D2" w14:textId="77777777" w:rsidR="00C27402" w:rsidRPr="00C27402" w:rsidRDefault="00C27402" w:rsidP="00C27402">
            <w:pPr>
              <w:pStyle w:val="ListParagraph"/>
              <w:numPr>
                <w:ilvl w:val="0"/>
                <w:numId w:val="14"/>
              </w:numPr>
              <w:rPr>
                <w:rFonts w:ascii="Arial" w:hAnsi="Arial" w:cs="Arial"/>
              </w:rPr>
            </w:pPr>
            <w:r w:rsidRPr="00C27402">
              <w:rPr>
                <w:rFonts w:ascii="Arial" w:hAnsi="Arial" w:cs="Arial"/>
              </w:rPr>
              <w:t>Use bleach or chlorine-containing cleaners to flush wastewater lines</w:t>
            </w:r>
          </w:p>
        </w:tc>
      </w:tr>
    </w:tbl>
    <w:p w14:paraId="390994D4" w14:textId="3CBC162F" w:rsidR="0077773B" w:rsidRPr="006D725B" w:rsidRDefault="0077773B">
      <w:pPr>
        <w:rPr>
          <w:rFonts w:ascii="Arial" w:eastAsiaTheme="majorEastAsia" w:hAnsi="Arial" w:cs="Arial"/>
          <w:b/>
          <w:bCs/>
          <w:color w:val="0B5294" w:themeColor="accent1" w:themeShade="BF"/>
          <w:sz w:val="28"/>
          <w:szCs w:val="28"/>
        </w:rPr>
      </w:pPr>
    </w:p>
    <w:p w14:paraId="390994D5" w14:textId="77777777" w:rsidR="0077773B" w:rsidRPr="006C0BA1" w:rsidRDefault="0077773B" w:rsidP="0077773B">
      <w:pPr>
        <w:pStyle w:val="Title"/>
        <w:rPr>
          <w:rFonts w:ascii="Arial" w:hAnsi="Arial" w:cs="Arial"/>
          <w:color w:val="7CCA62" w:themeColor="accent5"/>
          <w:sz w:val="60"/>
          <w:szCs w:val="60"/>
        </w:rPr>
      </w:pPr>
      <w:r w:rsidRPr="006C0BA1">
        <w:rPr>
          <w:rFonts w:ascii="Arial" w:hAnsi="Arial" w:cs="Arial"/>
          <w:color w:val="7CCA62" w:themeColor="accent5"/>
          <w:sz w:val="60"/>
          <w:szCs w:val="60"/>
        </w:rPr>
        <w:t>Resources</w:t>
      </w:r>
    </w:p>
    <w:p w14:paraId="390994D6" w14:textId="77777777" w:rsidR="0077773B" w:rsidRPr="006D725B" w:rsidRDefault="0077773B" w:rsidP="0077773B">
      <w:pPr>
        <w:pStyle w:val="ListParagraph"/>
        <w:numPr>
          <w:ilvl w:val="0"/>
          <w:numId w:val="11"/>
        </w:numPr>
        <w:rPr>
          <w:rFonts w:ascii="Arial" w:hAnsi="Arial" w:cs="Arial"/>
        </w:rPr>
      </w:pPr>
      <w:r w:rsidRPr="006D725B">
        <w:rPr>
          <w:rFonts w:ascii="Arial" w:hAnsi="Arial" w:cs="Arial"/>
        </w:rPr>
        <w:t xml:space="preserve">U.S. Environmental Protection Agency. </w:t>
      </w:r>
      <w:hyperlink r:id="rId17" w:history="1">
        <w:r w:rsidRPr="001E7148">
          <w:rPr>
            <w:rStyle w:val="Hyperlink"/>
            <w:rFonts w:ascii="Arial" w:hAnsi="Arial" w:cs="Arial"/>
            <w:color w:val="0F6FC6" w:themeColor="accent1"/>
          </w:rPr>
          <w:t>Fact Sheet: Effluent Limitations Guidelines and Standards for Dental Offices.</w:t>
        </w:r>
      </w:hyperlink>
      <w:r w:rsidRPr="001E7148">
        <w:rPr>
          <w:rFonts w:ascii="Arial" w:hAnsi="Arial" w:cs="Arial"/>
          <w:color w:val="0F6FC6" w:themeColor="accent1"/>
        </w:rPr>
        <w:t xml:space="preserve"> </w:t>
      </w:r>
      <w:r w:rsidRPr="006D725B">
        <w:rPr>
          <w:rFonts w:ascii="Arial" w:hAnsi="Arial" w:cs="Arial"/>
        </w:rPr>
        <w:t>Accessed June 29, 2017.</w:t>
      </w:r>
    </w:p>
    <w:p w14:paraId="390994D7" w14:textId="77777777" w:rsidR="006D725B" w:rsidRPr="006D725B" w:rsidRDefault="0077773B" w:rsidP="006D725B">
      <w:pPr>
        <w:pStyle w:val="ListParagraph"/>
        <w:numPr>
          <w:ilvl w:val="0"/>
          <w:numId w:val="11"/>
        </w:numPr>
        <w:rPr>
          <w:rFonts w:ascii="Arial" w:hAnsi="Arial" w:cs="Arial"/>
        </w:rPr>
      </w:pPr>
      <w:r w:rsidRPr="006D725B">
        <w:rPr>
          <w:rFonts w:ascii="Arial" w:hAnsi="Arial" w:cs="Arial"/>
        </w:rPr>
        <w:t xml:space="preserve">U.S. Environmental Protection Agency. </w:t>
      </w:r>
      <w:hyperlink r:id="rId18" w:history="1">
        <w:r w:rsidRPr="001E7148">
          <w:rPr>
            <w:rStyle w:val="Hyperlink"/>
            <w:rFonts w:ascii="Arial" w:hAnsi="Arial" w:cs="Arial"/>
            <w:color w:val="0F6FC6" w:themeColor="accent1"/>
          </w:rPr>
          <w:t>Effluent Limitations Guidelines and Standards for the Dental Category</w:t>
        </w:r>
        <w:r w:rsidR="006D725B" w:rsidRPr="001E7148">
          <w:rPr>
            <w:rStyle w:val="Hyperlink"/>
            <w:rFonts w:ascii="Arial" w:hAnsi="Arial" w:cs="Arial"/>
            <w:color w:val="0F6FC6" w:themeColor="accent1"/>
          </w:rPr>
          <w:t>.</w:t>
        </w:r>
      </w:hyperlink>
      <w:r w:rsidR="006D725B" w:rsidRPr="006D725B">
        <w:rPr>
          <w:rFonts w:ascii="Arial" w:hAnsi="Arial" w:cs="Arial"/>
        </w:rPr>
        <w:t xml:space="preserve"> Accessed June 29, 2017.</w:t>
      </w:r>
    </w:p>
    <w:p w14:paraId="390994D8" w14:textId="77777777" w:rsidR="006D725B" w:rsidRDefault="006D725B" w:rsidP="0077773B">
      <w:pPr>
        <w:pStyle w:val="ListParagraph"/>
        <w:numPr>
          <w:ilvl w:val="0"/>
          <w:numId w:val="11"/>
        </w:numPr>
        <w:rPr>
          <w:rFonts w:ascii="Arial" w:hAnsi="Arial" w:cs="Arial"/>
        </w:rPr>
      </w:pPr>
      <w:r w:rsidRPr="006D725B">
        <w:rPr>
          <w:rFonts w:ascii="Arial" w:hAnsi="Arial" w:cs="Arial"/>
        </w:rPr>
        <w:t xml:space="preserve">American Dental Association. </w:t>
      </w:r>
      <w:hyperlink r:id="rId19" w:history="1">
        <w:r w:rsidRPr="001E7148">
          <w:rPr>
            <w:rStyle w:val="Hyperlink"/>
            <w:rFonts w:ascii="Arial" w:hAnsi="Arial" w:cs="Arial"/>
            <w:color w:val="0F6FC6" w:themeColor="accent1"/>
          </w:rPr>
          <w:t>Amalgam Separators and Waste Best Management.</w:t>
        </w:r>
      </w:hyperlink>
      <w:r w:rsidRPr="001E7148">
        <w:rPr>
          <w:rFonts w:ascii="Arial" w:hAnsi="Arial" w:cs="Arial"/>
          <w:color w:val="0F6FC6" w:themeColor="accent1"/>
        </w:rPr>
        <w:t xml:space="preserve"> </w:t>
      </w:r>
      <w:r w:rsidRPr="006D725B">
        <w:rPr>
          <w:rFonts w:ascii="Arial" w:hAnsi="Arial" w:cs="Arial"/>
        </w:rPr>
        <w:t>Accessed June 29, 2017.</w:t>
      </w:r>
    </w:p>
    <w:p w14:paraId="390994D9" w14:textId="77777777" w:rsidR="00206969" w:rsidRDefault="00206969" w:rsidP="00206969">
      <w:pPr>
        <w:rPr>
          <w:rFonts w:ascii="Arial" w:hAnsi="Arial" w:cs="Arial"/>
        </w:rPr>
      </w:pPr>
    </w:p>
    <w:p w14:paraId="390994DA" w14:textId="77777777" w:rsidR="00206969" w:rsidRPr="00206969" w:rsidRDefault="00206969" w:rsidP="00206969">
      <w:pPr>
        <w:rPr>
          <w:rFonts w:ascii="Arial" w:hAnsi="Arial" w:cs="Arial"/>
        </w:rPr>
      </w:pPr>
    </w:p>
    <w:sectPr w:rsidR="00206969" w:rsidRPr="00206969" w:rsidSect="0091209E">
      <w:footerReference w:type="default" r:id="rId20"/>
      <w:footerReference w:type="first" r:id="rId21"/>
      <w:pgSz w:w="12240" w:h="15840"/>
      <w:pgMar w:top="108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0994DF" w14:textId="77777777" w:rsidR="004F1792" w:rsidRDefault="004F1792" w:rsidP="006E63E6">
      <w:pPr>
        <w:spacing w:after="0" w:line="240" w:lineRule="auto"/>
      </w:pPr>
      <w:r>
        <w:separator/>
      </w:r>
    </w:p>
  </w:endnote>
  <w:endnote w:type="continuationSeparator" w:id="0">
    <w:p w14:paraId="390994E0" w14:textId="77777777" w:rsidR="004F1792" w:rsidRDefault="004F1792" w:rsidP="006E6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9062057"/>
      <w:docPartObj>
        <w:docPartGallery w:val="Page Numbers (Bottom of Page)"/>
        <w:docPartUnique/>
      </w:docPartObj>
    </w:sdtPr>
    <w:sdtEndPr>
      <w:rPr>
        <w:noProof/>
      </w:rPr>
    </w:sdtEndPr>
    <w:sdtContent>
      <w:p w14:paraId="390994E1" w14:textId="639DCE75" w:rsidR="00206969" w:rsidRDefault="00206969" w:rsidP="00451846">
        <w:pPr>
          <w:pStyle w:val="Footer"/>
          <w:jc w:val="center"/>
          <w:rPr>
            <w:noProof/>
          </w:rPr>
        </w:pPr>
        <w:r>
          <w:fldChar w:fldCharType="begin"/>
        </w:r>
        <w:r>
          <w:instrText xml:space="preserve"> PAGE   \* MERGEFORMAT </w:instrText>
        </w:r>
        <w:r>
          <w:fldChar w:fldCharType="separate"/>
        </w:r>
        <w:r w:rsidR="0091209E">
          <w:rPr>
            <w:noProof/>
          </w:rPr>
          <w:t>2</w:t>
        </w:r>
        <w:r>
          <w:rPr>
            <w:noProof/>
          </w:rPr>
          <w:fldChar w:fldCharType="end"/>
        </w:r>
        <w:r w:rsidR="00451846">
          <w:rPr>
            <w:noProof/>
          </w:rPr>
          <w:t xml:space="preserve"> of 3</w:t>
        </w:r>
      </w:p>
    </w:sdtContent>
  </w:sdt>
  <w:p w14:paraId="390994E2" w14:textId="77777777" w:rsidR="006E63E6" w:rsidRPr="00206969" w:rsidRDefault="006E63E6" w:rsidP="002069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B42320" w14:paraId="390994EE" w14:textId="77777777" w:rsidTr="00B4528A">
      <w:tc>
        <w:tcPr>
          <w:tcW w:w="4788" w:type="dxa"/>
        </w:tcPr>
        <w:p w14:paraId="390994E3" w14:textId="77777777" w:rsidR="00B42320" w:rsidRPr="00B42320" w:rsidRDefault="00B42320" w:rsidP="00B42320">
          <w:pPr>
            <w:pStyle w:val="Footer"/>
            <w:rPr>
              <w:rFonts w:ascii="Arial" w:hAnsi="Arial" w:cs="Arial"/>
              <w:sz w:val="20"/>
            </w:rPr>
          </w:pPr>
          <w:r w:rsidRPr="00B42320">
            <w:rPr>
              <w:rFonts w:ascii="Arial" w:hAnsi="Arial" w:cs="Arial"/>
              <w:sz w:val="20"/>
            </w:rPr>
            <w:t>Trinity River Authority</w:t>
          </w:r>
        </w:p>
        <w:p w14:paraId="390994E4" w14:textId="77777777" w:rsidR="00B35ADF" w:rsidRPr="00B35ADF" w:rsidRDefault="00B35ADF" w:rsidP="00B35ADF">
          <w:pPr>
            <w:pStyle w:val="Footer"/>
            <w:rPr>
              <w:rFonts w:ascii="Arial" w:hAnsi="Arial" w:cs="Arial"/>
              <w:sz w:val="20"/>
            </w:rPr>
          </w:pPr>
          <w:r w:rsidRPr="00B35ADF">
            <w:rPr>
              <w:rFonts w:ascii="Arial" w:hAnsi="Arial" w:cs="Arial"/>
              <w:sz w:val="20"/>
            </w:rPr>
            <w:t>5300 South Collins</w:t>
          </w:r>
        </w:p>
        <w:p w14:paraId="390994E5" w14:textId="77777777" w:rsidR="00B42320" w:rsidRDefault="00B35ADF" w:rsidP="00B35ADF">
          <w:pPr>
            <w:pStyle w:val="Footer"/>
            <w:rPr>
              <w:rFonts w:ascii="Arial" w:hAnsi="Arial" w:cs="Arial"/>
              <w:sz w:val="20"/>
            </w:rPr>
          </w:pPr>
          <w:r w:rsidRPr="00B35ADF">
            <w:rPr>
              <w:rFonts w:ascii="Arial" w:hAnsi="Arial" w:cs="Arial"/>
              <w:sz w:val="20"/>
            </w:rPr>
            <w:t>Arlington, TX. 76018</w:t>
          </w:r>
        </w:p>
        <w:p w14:paraId="390994E6" w14:textId="77777777" w:rsidR="00B35ADF" w:rsidRDefault="00B35ADF" w:rsidP="00B35ADF">
          <w:pPr>
            <w:pStyle w:val="Footer"/>
            <w:rPr>
              <w:rFonts w:ascii="Arial" w:hAnsi="Arial" w:cs="Arial"/>
              <w:sz w:val="20"/>
            </w:rPr>
          </w:pPr>
        </w:p>
        <w:p w14:paraId="0BB2D441" w14:textId="7E3B52D5" w:rsidR="00451846" w:rsidRPr="00451846" w:rsidRDefault="0091209E" w:rsidP="00B35ADF">
          <w:pPr>
            <w:pStyle w:val="Footer"/>
            <w:rPr>
              <w:rFonts w:ascii="Arial" w:hAnsi="Arial" w:cs="Arial"/>
              <w:color w:val="0F6FC6" w:themeColor="accent1"/>
              <w:sz w:val="20"/>
            </w:rPr>
          </w:pPr>
          <w:hyperlink r:id="rId1" w:history="1">
            <w:r w:rsidR="00451846" w:rsidRPr="00451846">
              <w:rPr>
                <w:rStyle w:val="Hyperlink"/>
                <w:rFonts w:ascii="Arial" w:hAnsi="Arial" w:cs="Arial"/>
                <w:color w:val="0F6FC6" w:themeColor="accent1"/>
                <w:sz w:val="20"/>
              </w:rPr>
              <w:t>pretreatment@trinityra.org</w:t>
            </w:r>
          </w:hyperlink>
        </w:p>
        <w:p w14:paraId="390994E7" w14:textId="77517999" w:rsidR="00B42320" w:rsidRPr="00B42320" w:rsidRDefault="00B42320" w:rsidP="00B35ADF">
          <w:pPr>
            <w:pStyle w:val="Footer"/>
            <w:rPr>
              <w:rFonts w:ascii="Arial" w:hAnsi="Arial" w:cs="Arial"/>
              <w:sz w:val="20"/>
            </w:rPr>
          </w:pPr>
          <w:r>
            <w:rPr>
              <w:rFonts w:ascii="Arial" w:hAnsi="Arial" w:cs="Arial"/>
              <w:sz w:val="20"/>
            </w:rPr>
            <w:t xml:space="preserve"> </w:t>
          </w:r>
        </w:p>
      </w:tc>
      <w:tc>
        <w:tcPr>
          <w:tcW w:w="4788" w:type="dxa"/>
        </w:tcPr>
        <w:p w14:paraId="390994E8" w14:textId="63ABFA5D" w:rsidR="00B42320" w:rsidRDefault="0091209E" w:rsidP="00B42320">
          <w:pPr>
            <w:pStyle w:val="Footer"/>
            <w:rPr>
              <w:rFonts w:ascii="Arial" w:hAnsi="Arial" w:cs="Arial"/>
            </w:rPr>
          </w:pPr>
          <w:r>
            <w:rPr>
              <w:rFonts w:ascii="Arial" w:hAnsi="Arial" w:cs="Arial"/>
            </w:rPr>
            <w:t>City of Cedar Hill</w:t>
          </w:r>
        </w:p>
        <w:p w14:paraId="390994E9" w14:textId="63F98C40" w:rsidR="00B42320" w:rsidRDefault="0091209E" w:rsidP="00B42320">
          <w:pPr>
            <w:pStyle w:val="Footer"/>
            <w:rPr>
              <w:rFonts w:ascii="Arial" w:hAnsi="Arial" w:cs="Arial"/>
            </w:rPr>
          </w:pPr>
          <w:r>
            <w:rPr>
              <w:rFonts w:ascii="Arial" w:hAnsi="Arial" w:cs="Arial"/>
            </w:rPr>
            <w:t>285 Uptown Blvd</w:t>
          </w:r>
        </w:p>
        <w:p w14:paraId="390994EA" w14:textId="688C7468" w:rsidR="00B42320" w:rsidRDefault="0091209E" w:rsidP="00B42320">
          <w:pPr>
            <w:pStyle w:val="Footer"/>
            <w:rPr>
              <w:rFonts w:ascii="Arial" w:hAnsi="Arial" w:cs="Arial"/>
            </w:rPr>
          </w:pPr>
          <w:r>
            <w:rPr>
              <w:rFonts w:ascii="Arial" w:hAnsi="Arial" w:cs="Arial"/>
            </w:rPr>
            <w:t>Cedar Hill, TX 75104</w:t>
          </w:r>
        </w:p>
        <w:p w14:paraId="390994EB" w14:textId="77777777" w:rsidR="00B42320" w:rsidRDefault="00B42320" w:rsidP="00B42320">
          <w:pPr>
            <w:pStyle w:val="Footer"/>
            <w:rPr>
              <w:rFonts w:ascii="Arial" w:hAnsi="Arial" w:cs="Arial"/>
            </w:rPr>
          </w:pPr>
        </w:p>
        <w:p w14:paraId="118BF3EC" w14:textId="77777777" w:rsidR="00B42320" w:rsidRDefault="0091209E" w:rsidP="00B42320">
          <w:pPr>
            <w:pStyle w:val="Footer"/>
            <w:rPr>
              <w:rFonts w:ascii="Arial" w:hAnsi="Arial" w:cs="Arial"/>
            </w:rPr>
          </w:pPr>
          <w:r>
            <w:rPr>
              <w:rFonts w:ascii="Arial" w:hAnsi="Arial" w:cs="Arial"/>
            </w:rPr>
            <w:t>Duy Vu</w:t>
          </w:r>
        </w:p>
        <w:p w14:paraId="390994ED" w14:textId="35BE3FD7" w:rsidR="0091209E" w:rsidRPr="00B42320" w:rsidRDefault="0091209E" w:rsidP="0091209E">
          <w:pPr>
            <w:pStyle w:val="Footer"/>
            <w:rPr>
              <w:rFonts w:ascii="Arial" w:hAnsi="Arial" w:cs="Arial"/>
            </w:rPr>
          </w:pPr>
          <w:hyperlink r:id="rId2" w:history="1">
            <w:r w:rsidRPr="00596DDA">
              <w:rPr>
                <w:rStyle w:val="Hyperlink"/>
                <w:rFonts w:ascii="Arial" w:hAnsi="Arial" w:cs="Arial"/>
              </w:rPr>
              <w:t>duy.vu@cedarhilltx.com</w:t>
            </w:r>
          </w:hyperlink>
        </w:p>
      </w:tc>
    </w:tr>
  </w:tbl>
  <w:p w14:paraId="390994EF" w14:textId="77777777" w:rsidR="00B42320" w:rsidRPr="00B42320" w:rsidRDefault="00B42320" w:rsidP="00B423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994DD" w14:textId="77777777" w:rsidR="004F1792" w:rsidRDefault="004F1792" w:rsidP="006E63E6">
      <w:pPr>
        <w:spacing w:after="0" w:line="240" w:lineRule="auto"/>
      </w:pPr>
      <w:r>
        <w:separator/>
      </w:r>
    </w:p>
  </w:footnote>
  <w:footnote w:type="continuationSeparator" w:id="0">
    <w:p w14:paraId="390994DE" w14:textId="77777777" w:rsidR="004F1792" w:rsidRDefault="004F1792" w:rsidP="006E63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A7192"/>
    <w:multiLevelType w:val="hybridMultilevel"/>
    <w:tmpl w:val="85488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E29B0"/>
    <w:multiLevelType w:val="hybridMultilevel"/>
    <w:tmpl w:val="FA0A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CB0A34"/>
    <w:multiLevelType w:val="hybridMultilevel"/>
    <w:tmpl w:val="1D885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A14CA1"/>
    <w:multiLevelType w:val="hybridMultilevel"/>
    <w:tmpl w:val="12081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A56895"/>
    <w:multiLevelType w:val="hybridMultilevel"/>
    <w:tmpl w:val="D82C8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4B7323"/>
    <w:multiLevelType w:val="hybridMultilevel"/>
    <w:tmpl w:val="C6703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63582F"/>
    <w:multiLevelType w:val="hybridMultilevel"/>
    <w:tmpl w:val="7CBA8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327FD2"/>
    <w:multiLevelType w:val="hybridMultilevel"/>
    <w:tmpl w:val="D47AF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895A30"/>
    <w:multiLevelType w:val="hybridMultilevel"/>
    <w:tmpl w:val="6CEC0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C62813"/>
    <w:multiLevelType w:val="hybridMultilevel"/>
    <w:tmpl w:val="49E0A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C130F6"/>
    <w:multiLevelType w:val="hybridMultilevel"/>
    <w:tmpl w:val="041041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F45D99"/>
    <w:multiLevelType w:val="hybridMultilevel"/>
    <w:tmpl w:val="1B981212"/>
    <w:lvl w:ilvl="0" w:tplc="D712604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1B0293"/>
    <w:multiLevelType w:val="hybridMultilevel"/>
    <w:tmpl w:val="F18C4568"/>
    <w:lvl w:ilvl="0" w:tplc="E8B27500">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F734E1"/>
    <w:multiLevelType w:val="hybridMultilevel"/>
    <w:tmpl w:val="969EB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3"/>
  </w:num>
  <w:num w:numId="5">
    <w:abstractNumId w:val="8"/>
  </w:num>
  <w:num w:numId="6">
    <w:abstractNumId w:val="2"/>
  </w:num>
  <w:num w:numId="7">
    <w:abstractNumId w:val="6"/>
  </w:num>
  <w:num w:numId="8">
    <w:abstractNumId w:val="0"/>
  </w:num>
  <w:num w:numId="9">
    <w:abstractNumId w:val="10"/>
  </w:num>
  <w:num w:numId="10">
    <w:abstractNumId w:val="11"/>
  </w:num>
  <w:num w:numId="11">
    <w:abstractNumId w:val="7"/>
  </w:num>
  <w:num w:numId="12">
    <w:abstractNumId w:val="9"/>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AE5"/>
    <w:rsid w:val="00095C77"/>
    <w:rsid w:val="000B6F01"/>
    <w:rsid w:val="00116586"/>
    <w:rsid w:val="00136B9F"/>
    <w:rsid w:val="00184956"/>
    <w:rsid w:val="00194A79"/>
    <w:rsid w:val="001E7148"/>
    <w:rsid w:val="00206969"/>
    <w:rsid w:val="00210551"/>
    <w:rsid w:val="00292AE5"/>
    <w:rsid w:val="00293FEA"/>
    <w:rsid w:val="00305963"/>
    <w:rsid w:val="0031327C"/>
    <w:rsid w:val="00332998"/>
    <w:rsid w:val="003742BD"/>
    <w:rsid w:val="003B51A1"/>
    <w:rsid w:val="003B65A2"/>
    <w:rsid w:val="00437FA7"/>
    <w:rsid w:val="00451846"/>
    <w:rsid w:val="00475087"/>
    <w:rsid w:val="004F1792"/>
    <w:rsid w:val="004F7828"/>
    <w:rsid w:val="005638CF"/>
    <w:rsid w:val="005A738E"/>
    <w:rsid w:val="005D51DF"/>
    <w:rsid w:val="00641D0C"/>
    <w:rsid w:val="00682339"/>
    <w:rsid w:val="006A7F3B"/>
    <w:rsid w:val="006C0BA1"/>
    <w:rsid w:val="006D725B"/>
    <w:rsid w:val="006E63E6"/>
    <w:rsid w:val="007621CB"/>
    <w:rsid w:val="0077773B"/>
    <w:rsid w:val="008332AC"/>
    <w:rsid w:val="00875270"/>
    <w:rsid w:val="008B5D45"/>
    <w:rsid w:val="0091209E"/>
    <w:rsid w:val="009C7A90"/>
    <w:rsid w:val="00A53883"/>
    <w:rsid w:val="00B35ADF"/>
    <w:rsid w:val="00B42320"/>
    <w:rsid w:val="00B4528A"/>
    <w:rsid w:val="00B66E76"/>
    <w:rsid w:val="00BF58F5"/>
    <w:rsid w:val="00C27402"/>
    <w:rsid w:val="00E63651"/>
    <w:rsid w:val="00FC1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909947C"/>
  <w15:docId w15:val="{3F29DEFA-508A-46E5-8B6A-476324887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E63E6"/>
    <w:pPr>
      <w:keepNext/>
      <w:keepLines/>
      <w:spacing w:before="480" w:after="0"/>
      <w:outlineLvl w:val="0"/>
    </w:pPr>
    <w:rPr>
      <w:rFonts w:asciiTheme="majorHAnsi" w:eastAsiaTheme="majorEastAsia" w:hAnsiTheme="majorHAnsi" w:cstheme="majorBidi"/>
      <w:b/>
      <w:bCs/>
      <w:color w:val="0B5294" w:themeColor="accent1" w:themeShade="BF"/>
      <w:sz w:val="28"/>
      <w:szCs w:val="28"/>
    </w:rPr>
  </w:style>
  <w:style w:type="paragraph" w:styleId="Heading2">
    <w:name w:val="heading 2"/>
    <w:basedOn w:val="Normal"/>
    <w:next w:val="Normal"/>
    <w:link w:val="Heading2Char"/>
    <w:uiPriority w:val="9"/>
    <w:unhideWhenUsed/>
    <w:qFormat/>
    <w:rsid w:val="00C27402"/>
    <w:pPr>
      <w:keepNext/>
      <w:keepLines/>
      <w:spacing w:before="200" w:after="0"/>
      <w:outlineLvl w:val="1"/>
    </w:pPr>
    <w:rPr>
      <w:rFonts w:asciiTheme="majorHAnsi" w:eastAsiaTheme="majorEastAsia" w:hAnsiTheme="majorHAnsi" w:cstheme="majorBidi"/>
      <w:b/>
      <w:bCs/>
      <w:color w:val="0F6FC6"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2A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2AE5"/>
    <w:pPr>
      <w:ind w:left="720"/>
      <w:contextualSpacing/>
    </w:pPr>
  </w:style>
  <w:style w:type="character" w:styleId="Hyperlink">
    <w:name w:val="Hyperlink"/>
    <w:basedOn w:val="DefaultParagraphFont"/>
    <w:uiPriority w:val="99"/>
    <w:unhideWhenUsed/>
    <w:rsid w:val="005D51DF"/>
    <w:rPr>
      <w:color w:val="F49100" w:themeColor="hyperlink"/>
      <w:u w:val="single"/>
    </w:rPr>
  </w:style>
  <w:style w:type="paragraph" w:styleId="Title">
    <w:name w:val="Title"/>
    <w:basedOn w:val="Normal"/>
    <w:next w:val="Normal"/>
    <w:link w:val="TitleChar"/>
    <w:uiPriority w:val="10"/>
    <w:qFormat/>
    <w:rsid w:val="005A738E"/>
    <w:pPr>
      <w:pBdr>
        <w:bottom w:val="single" w:sz="8" w:space="4" w:color="0F6FC6" w:themeColor="accent1"/>
      </w:pBdr>
      <w:spacing w:after="300" w:line="240" w:lineRule="auto"/>
      <w:contextualSpacing/>
    </w:pPr>
    <w:rPr>
      <w:rFonts w:asciiTheme="majorHAnsi" w:eastAsiaTheme="majorEastAsia" w:hAnsiTheme="majorHAnsi" w:cstheme="majorBidi"/>
      <w:color w:val="03485B" w:themeColor="text2" w:themeShade="BF"/>
      <w:spacing w:val="5"/>
      <w:kern w:val="28"/>
      <w:sz w:val="52"/>
      <w:szCs w:val="52"/>
    </w:rPr>
  </w:style>
  <w:style w:type="character" w:customStyle="1" w:styleId="TitleChar">
    <w:name w:val="Title Char"/>
    <w:basedOn w:val="DefaultParagraphFont"/>
    <w:link w:val="Title"/>
    <w:uiPriority w:val="10"/>
    <w:rsid w:val="005A738E"/>
    <w:rPr>
      <w:rFonts w:asciiTheme="majorHAnsi" w:eastAsiaTheme="majorEastAsia" w:hAnsiTheme="majorHAnsi" w:cstheme="majorBidi"/>
      <w:color w:val="03485B" w:themeColor="text2" w:themeShade="BF"/>
      <w:spacing w:val="5"/>
      <w:kern w:val="28"/>
      <w:sz w:val="52"/>
      <w:szCs w:val="52"/>
    </w:rPr>
  </w:style>
  <w:style w:type="character" w:customStyle="1" w:styleId="Heading1Char">
    <w:name w:val="Heading 1 Char"/>
    <w:basedOn w:val="DefaultParagraphFont"/>
    <w:link w:val="Heading1"/>
    <w:uiPriority w:val="9"/>
    <w:rsid w:val="006E63E6"/>
    <w:rPr>
      <w:rFonts w:asciiTheme="majorHAnsi" w:eastAsiaTheme="majorEastAsia" w:hAnsiTheme="majorHAnsi" w:cstheme="majorBidi"/>
      <w:b/>
      <w:bCs/>
      <w:color w:val="0B5294" w:themeColor="accent1" w:themeShade="BF"/>
      <w:sz w:val="28"/>
      <w:szCs w:val="28"/>
    </w:rPr>
  </w:style>
  <w:style w:type="paragraph" w:styleId="Header">
    <w:name w:val="header"/>
    <w:basedOn w:val="Normal"/>
    <w:link w:val="HeaderChar"/>
    <w:uiPriority w:val="99"/>
    <w:unhideWhenUsed/>
    <w:rsid w:val="006E63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63E6"/>
  </w:style>
  <w:style w:type="paragraph" w:styleId="Footer">
    <w:name w:val="footer"/>
    <w:basedOn w:val="Normal"/>
    <w:link w:val="FooterChar"/>
    <w:uiPriority w:val="99"/>
    <w:unhideWhenUsed/>
    <w:rsid w:val="006E63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63E6"/>
  </w:style>
  <w:style w:type="paragraph" w:styleId="BalloonText">
    <w:name w:val="Balloon Text"/>
    <w:basedOn w:val="Normal"/>
    <w:link w:val="BalloonTextChar"/>
    <w:uiPriority w:val="99"/>
    <w:semiHidden/>
    <w:unhideWhenUsed/>
    <w:rsid w:val="006E63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63E6"/>
    <w:rPr>
      <w:rFonts w:ascii="Tahoma" w:hAnsi="Tahoma" w:cs="Tahoma"/>
      <w:sz w:val="16"/>
      <w:szCs w:val="16"/>
    </w:rPr>
  </w:style>
  <w:style w:type="paragraph" w:styleId="NoSpacing">
    <w:name w:val="No Spacing"/>
    <w:link w:val="NoSpacingChar"/>
    <w:uiPriority w:val="1"/>
    <w:qFormat/>
    <w:rsid w:val="006E63E6"/>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6E63E6"/>
    <w:rPr>
      <w:rFonts w:eastAsiaTheme="minorEastAsia"/>
      <w:lang w:eastAsia="ja-JP"/>
    </w:rPr>
  </w:style>
  <w:style w:type="character" w:styleId="FollowedHyperlink">
    <w:name w:val="FollowedHyperlink"/>
    <w:basedOn w:val="DefaultParagraphFont"/>
    <w:uiPriority w:val="99"/>
    <w:semiHidden/>
    <w:unhideWhenUsed/>
    <w:rsid w:val="006D725B"/>
    <w:rPr>
      <w:color w:val="85DFD0" w:themeColor="followedHyperlink"/>
      <w:u w:val="single"/>
    </w:rPr>
  </w:style>
  <w:style w:type="character" w:customStyle="1" w:styleId="Heading2Char">
    <w:name w:val="Heading 2 Char"/>
    <w:basedOn w:val="DefaultParagraphFont"/>
    <w:link w:val="Heading2"/>
    <w:uiPriority w:val="9"/>
    <w:rsid w:val="00C27402"/>
    <w:rPr>
      <w:rFonts w:asciiTheme="majorHAnsi" w:eastAsiaTheme="majorEastAsia" w:hAnsiTheme="majorHAnsi" w:cstheme="majorBidi"/>
      <w:b/>
      <w:bCs/>
      <w:color w:val="0F6FC6" w:themeColor="accent1"/>
      <w:sz w:val="26"/>
      <w:szCs w:val="26"/>
    </w:rPr>
  </w:style>
  <w:style w:type="character" w:styleId="CommentReference">
    <w:name w:val="annotation reference"/>
    <w:basedOn w:val="DefaultParagraphFont"/>
    <w:uiPriority w:val="99"/>
    <w:semiHidden/>
    <w:unhideWhenUsed/>
    <w:rsid w:val="00B66E76"/>
    <w:rPr>
      <w:sz w:val="16"/>
      <w:szCs w:val="16"/>
    </w:rPr>
  </w:style>
  <w:style w:type="paragraph" w:styleId="CommentText">
    <w:name w:val="annotation text"/>
    <w:basedOn w:val="Normal"/>
    <w:link w:val="CommentTextChar"/>
    <w:uiPriority w:val="99"/>
    <w:semiHidden/>
    <w:unhideWhenUsed/>
    <w:rsid w:val="00B66E76"/>
    <w:pPr>
      <w:spacing w:line="240" w:lineRule="auto"/>
    </w:pPr>
    <w:rPr>
      <w:sz w:val="20"/>
      <w:szCs w:val="20"/>
    </w:rPr>
  </w:style>
  <w:style w:type="character" w:customStyle="1" w:styleId="CommentTextChar">
    <w:name w:val="Comment Text Char"/>
    <w:basedOn w:val="DefaultParagraphFont"/>
    <w:link w:val="CommentText"/>
    <w:uiPriority w:val="99"/>
    <w:semiHidden/>
    <w:rsid w:val="00B66E76"/>
    <w:rPr>
      <w:sz w:val="20"/>
      <w:szCs w:val="20"/>
    </w:rPr>
  </w:style>
  <w:style w:type="paragraph" w:styleId="CommentSubject">
    <w:name w:val="annotation subject"/>
    <w:basedOn w:val="CommentText"/>
    <w:next w:val="CommentText"/>
    <w:link w:val="CommentSubjectChar"/>
    <w:uiPriority w:val="99"/>
    <w:semiHidden/>
    <w:unhideWhenUsed/>
    <w:rsid w:val="00B66E76"/>
    <w:rPr>
      <w:b/>
      <w:bCs/>
    </w:rPr>
  </w:style>
  <w:style w:type="character" w:customStyle="1" w:styleId="CommentSubjectChar">
    <w:name w:val="Comment Subject Char"/>
    <w:basedOn w:val="CommentTextChar"/>
    <w:link w:val="CommentSubject"/>
    <w:uiPriority w:val="99"/>
    <w:semiHidden/>
    <w:rsid w:val="00B66E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516220">
      <w:bodyDiv w:val="1"/>
      <w:marLeft w:val="0"/>
      <w:marRight w:val="0"/>
      <w:marTop w:val="0"/>
      <w:marBottom w:val="0"/>
      <w:divBdr>
        <w:top w:val="none" w:sz="0" w:space="0" w:color="auto"/>
        <w:left w:val="none" w:sz="0" w:space="0" w:color="auto"/>
        <w:bottom w:val="none" w:sz="0" w:space="0" w:color="auto"/>
        <w:right w:val="none" w:sz="0" w:space="0" w:color="auto"/>
      </w:divBdr>
      <w:divsChild>
        <w:div w:id="1024937890">
          <w:marLeft w:val="0"/>
          <w:marRight w:val="0"/>
          <w:marTop w:val="0"/>
          <w:marBottom w:val="0"/>
          <w:divBdr>
            <w:top w:val="none" w:sz="0" w:space="0" w:color="auto"/>
            <w:left w:val="none" w:sz="0" w:space="0" w:color="auto"/>
            <w:bottom w:val="none" w:sz="0" w:space="0" w:color="auto"/>
            <w:right w:val="none" w:sz="0" w:space="0" w:color="auto"/>
          </w:divBdr>
          <w:divsChild>
            <w:div w:id="1426271370">
              <w:marLeft w:val="0"/>
              <w:marRight w:val="0"/>
              <w:marTop w:val="0"/>
              <w:marBottom w:val="0"/>
              <w:divBdr>
                <w:top w:val="none" w:sz="0" w:space="0" w:color="auto"/>
                <w:left w:val="none" w:sz="0" w:space="0" w:color="auto"/>
                <w:bottom w:val="none" w:sz="0" w:space="0" w:color="auto"/>
                <w:right w:val="none" w:sz="0" w:space="0" w:color="auto"/>
              </w:divBdr>
              <w:divsChild>
                <w:div w:id="450124962">
                  <w:marLeft w:val="0"/>
                  <w:marRight w:val="0"/>
                  <w:marTop w:val="0"/>
                  <w:marBottom w:val="0"/>
                  <w:divBdr>
                    <w:top w:val="none" w:sz="0" w:space="0" w:color="auto"/>
                    <w:left w:val="none" w:sz="0" w:space="0" w:color="auto"/>
                    <w:bottom w:val="none" w:sz="0" w:space="0" w:color="auto"/>
                    <w:right w:val="none" w:sz="0" w:space="0" w:color="auto"/>
                  </w:divBdr>
                  <w:divsChild>
                    <w:div w:id="1131290850">
                      <w:marLeft w:val="0"/>
                      <w:marRight w:val="0"/>
                      <w:marTop w:val="0"/>
                      <w:marBottom w:val="0"/>
                      <w:divBdr>
                        <w:top w:val="none" w:sz="0" w:space="0" w:color="auto"/>
                        <w:left w:val="none" w:sz="0" w:space="0" w:color="auto"/>
                        <w:bottom w:val="none" w:sz="0" w:space="0" w:color="auto"/>
                        <w:right w:val="none" w:sz="0" w:space="0" w:color="auto"/>
                      </w:divBdr>
                      <w:divsChild>
                        <w:div w:id="1502431969">
                          <w:marLeft w:val="0"/>
                          <w:marRight w:val="0"/>
                          <w:marTop w:val="0"/>
                          <w:marBottom w:val="0"/>
                          <w:divBdr>
                            <w:top w:val="none" w:sz="0" w:space="0" w:color="auto"/>
                            <w:left w:val="none" w:sz="0" w:space="0" w:color="auto"/>
                            <w:bottom w:val="none" w:sz="0" w:space="0" w:color="auto"/>
                            <w:right w:val="none" w:sz="0" w:space="0" w:color="auto"/>
                          </w:divBdr>
                          <w:divsChild>
                            <w:div w:id="2143113904">
                              <w:marLeft w:val="15"/>
                              <w:marRight w:val="195"/>
                              <w:marTop w:val="0"/>
                              <w:marBottom w:val="0"/>
                              <w:divBdr>
                                <w:top w:val="none" w:sz="0" w:space="0" w:color="auto"/>
                                <w:left w:val="none" w:sz="0" w:space="0" w:color="auto"/>
                                <w:bottom w:val="none" w:sz="0" w:space="0" w:color="auto"/>
                                <w:right w:val="none" w:sz="0" w:space="0" w:color="auto"/>
                              </w:divBdr>
                              <w:divsChild>
                                <w:div w:id="1848858733">
                                  <w:marLeft w:val="0"/>
                                  <w:marRight w:val="0"/>
                                  <w:marTop w:val="0"/>
                                  <w:marBottom w:val="0"/>
                                  <w:divBdr>
                                    <w:top w:val="none" w:sz="0" w:space="0" w:color="auto"/>
                                    <w:left w:val="none" w:sz="0" w:space="0" w:color="auto"/>
                                    <w:bottom w:val="none" w:sz="0" w:space="0" w:color="auto"/>
                                    <w:right w:val="none" w:sz="0" w:space="0" w:color="auto"/>
                                  </w:divBdr>
                                  <w:divsChild>
                                    <w:div w:id="810438981">
                                      <w:marLeft w:val="0"/>
                                      <w:marRight w:val="0"/>
                                      <w:marTop w:val="0"/>
                                      <w:marBottom w:val="0"/>
                                      <w:divBdr>
                                        <w:top w:val="none" w:sz="0" w:space="0" w:color="auto"/>
                                        <w:left w:val="none" w:sz="0" w:space="0" w:color="auto"/>
                                        <w:bottom w:val="none" w:sz="0" w:space="0" w:color="auto"/>
                                        <w:right w:val="none" w:sz="0" w:space="0" w:color="auto"/>
                                      </w:divBdr>
                                      <w:divsChild>
                                        <w:div w:id="926035255">
                                          <w:marLeft w:val="0"/>
                                          <w:marRight w:val="0"/>
                                          <w:marTop w:val="0"/>
                                          <w:marBottom w:val="0"/>
                                          <w:divBdr>
                                            <w:top w:val="none" w:sz="0" w:space="0" w:color="auto"/>
                                            <w:left w:val="none" w:sz="0" w:space="0" w:color="auto"/>
                                            <w:bottom w:val="none" w:sz="0" w:space="0" w:color="auto"/>
                                            <w:right w:val="none" w:sz="0" w:space="0" w:color="auto"/>
                                          </w:divBdr>
                                          <w:divsChild>
                                            <w:div w:id="270548754">
                                              <w:marLeft w:val="0"/>
                                              <w:marRight w:val="0"/>
                                              <w:marTop w:val="0"/>
                                              <w:marBottom w:val="0"/>
                                              <w:divBdr>
                                                <w:top w:val="none" w:sz="0" w:space="0" w:color="auto"/>
                                                <w:left w:val="none" w:sz="0" w:space="0" w:color="auto"/>
                                                <w:bottom w:val="none" w:sz="0" w:space="0" w:color="auto"/>
                                                <w:right w:val="none" w:sz="0" w:space="0" w:color="auto"/>
                                              </w:divBdr>
                                              <w:divsChild>
                                                <w:div w:id="1870753216">
                                                  <w:marLeft w:val="0"/>
                                                  <w:marRight w:val="0"/>
                                                  <w:marTop w:val="0"/>
                                                  <w:marBottom w:val="0"/>
                                                  <w:divBdr>
                                                    <w:top w:val="none" w:sz="0" w:space="0" w:color="auto"/>
                                                    <w:left w:val="none" w:sz="0" w:space="0" w:color="auto"/>
                                                    <w:bottom w:val="none" w:sz="0" w:space="0" w:color="auto"/>
                                                    <w:right w:val="none" w:sz="0" w:space="0" w:color="auto"/>
                                                  </w:divBdr>
                                                  <w:divsChild>
                                                    <w:div w:id="213396095">
                                                      <w:marLeft w:val="0"/>
                                                      <w:marRight w:val="0"/>
                                                      <w:marTop w:val="0"/>
                                                      <w:marBottom w:val="0"/>
                                                      <w:divBdr>
                                                        <w:top w:val="none" w:sz="0" w:space="0" w:color="auto"/>
                                                        <w:left w:val="none" w:sz="0" w:space="0" w:color="auto"/>
                                                        <w:bottom w:val="none" w:sz="0" w:space="0" w:color="auto"/>
                                                        <w:right w:val="none" w:sz="0" w:space="0" w:color="auto"/>
                                                      </w:divBdr>
                                                      <w:divsChild>
                                                        <w:div w:id="2008097688">
                                                          <w:marLeft w:val="0"/>
                                                          <w:marRight w:val="0"/>
                                                          <w:marTop w:val="0"/>
                                                          <w:marBottom w:val="0"/>
                                                          <w:divBdr>
                                                            <w:top w:val="none" w:sz="0" w:space="0" w:color="auto"/>
                                                            <w:left w:val="none" w:sz="0" w:space="0" w:color="auto"/>
                                                            <w:bottom w:val="none" w:sz="0" w:space="0" w:color="auto"/>
                                                            <w:right w:val="none" w:sz="0" w:space="0" w:color="auto"/>
                                                          </w:divBdr>
                                                          <w:divsChild>
                                                            <w:div w:id="892232057">
                                                              <w:marLeft w:val="0"/>
                                                              <w:marRight w:val="0"/>
                                                              <w:marTop w:val="0"/>
                                                              <w:marBottom w:val="0"/>
                                                              <w:divBdr>
                                                                <w:top w:val="none" w:sz="0" w:space="0" w:color="auto"/>
                                                                <w:left w:val="none" w:sz="0" w:space="0" w:color="auto"/>
                                                                <w:bottom w:val="none" w:sz="0" w:space="0" w:color="auto"/>
                                                                <w:right w:val="none" w:sz="0" w:space="0" w:color="auto"/>
                                                              </w:divBdr>
                                                              <w:divsChild>
                                                                <w:div w:id="468590402">
                                                                  <w:marLeft w:val="0"/>
                                                                  <w:marRight w:val="0"/>
                                                                  <w:marTop w:val="0"/>
                                                                  <w:marBottom w:val="0"/>
                                                                  <w:divBdr>
                                                                    <w:top w:val="none" w:sz="0" w:space="0" w:color="auto"/>
                                                                    <w:left w:val="none" w:sz="0" w:space="0" w:color="auto"/>
                                                                    <w:bottom w:val="none" w:sz="0" w:space="0" w:color="auto"/>
                                                                    <w:right w:val="none" w:sz="0" w:space="0" w:color="auto"/>
                                                                  </w:divBdr>
                                                                  <w:divsChild>
                                                                    <w:div w:id="986595343">
                                                                      <w:marLeft w:val="405"/>
                                                                      <w:marRight w:val="0"/>
                                                                      <w:marTop w:val="0"/>
                                                                      <w:marBottom w:val="0"/>
                                                                      <w:divBdr>
                                                                        <w:top w:val="none" w:sz="0" w:space="0" w:color="auto"/>
                                                                        <w:left w:val="none" w:sz="0" w:space="0" w:color="auto"/>
                                                                        <w:bottom w:val="none" w:sz="0" w:space="0" w:color="auto"/>
                                                                        <w:right w:val="none" w:sz="0" w:space="0" w:color="auto"/>
                                                                      </w:divBdr>
                                                                      <w:divsChild>
                                                                        <w:div w:id="1911767319">
                                                                          <w:marLeft w:val="0"/>
                                                                          <w:marRight w:val="0"/>
                                                                          <w:marTop w:val="0"/>
                                                                          <w:marBottom w:val="0"/>
                                                                          <w:divBdr>
                                                                            <w:top w:val="none" w:sz="0" w:space="0" w:color="auto"/>
                                                                            <w:left w:val="none" w:sz="0" w:space="0" w:color="auto"/>
                                                                            <w:bottom w:val="none" w:sz="0" w:space="0" w:color="auto"/>
                                                                            <w:right w:val="none" w:sz="0" w:space="0" w:color="auto"/>
                                                                          </w:divBdr>
                                                                          <w:divsChild>
                                                                            <w:div w:id="1358845564">
                                                                              <w:marLeft w:val="0"/>
                                                                              <w:marRight w:val="0"/>
                                                                              <w:marTop w:val="0"/>
                                                                              <w:marBottom w:val="0"/>
                                                                              <w:divBdr>
                                                                                <w:top w:val="none" w:sz="0" w:space="0" w:color="auto"/>
                                                                                <w:left w:val="none" w:sz="0" w:space="0" w:color="auto"/>
                                                                                <w:bottom w:val="none" w:sz="0" w:space="0" w:color="auto"/>
                                                                                <w:right w:val="none" w:sz="0" w:space="0" w:color="auto"/>
                                                                              </w:divBdr>
                                                                              <w:divsChild>
                                                                                <w:div w:id="2023629255">
                                                                                  <w:marLeft w:val="0"/>
                                                                                  <w:marRight w:val="0"/>
                                                                                  <w:marTop w:val="0"/>
                                                                                  <w:marBottom w:val="0"/>
                                                                                  <w:divBdr>
                                                                                    <w:top w:val="none" w:sz="0" w:space="0" w:color="auto"/>
                                                                                    <w:left w:val="none" w:sz="0" w:space="0" w:color="auto"/>
                                                                                    <w:bottom w:val="none" w:sz="0" w:space="0" w:color="auto"/>
                                                                                    <w:right w:val="none" w:sz="0" w:space="0" w:color="auto"/>
                                                                                  </w:divBdr>
                                                                                  <w:divsChild>
                                                                                    <w:div w:id="662784308">
                                                                                      <w:marLeft w:val="0"/>
                                                                                      <w:marRight w:val="0"/>
                                                                                      <w:marTop w:val="0"/>
                                                                                      <w:marBottom w:val="0"/>
                                                                                      <w:divBdr>
                                                                                        <w:top w:val="none" w:sz="0" w:space="0" w:color="auto"/>
                                                                                        <w:left w:val="none" w:sz="0" w:space="0" w:color="auto"/>
                                                                                        <w:bottom w:val="none" w:sz="0" w:space="0" w:color="auto"/>
                                                                                        <w:right w:val="none" w:sz="0" w:space="0" w:color="auto"/>
                                                                                      </w:divBdr>
                                                                                      <w:divsChild>
                                                                                        <w:div w:id="1295939507">
                                                                                          <w:marLeft w:val="0"/>
                                                                                          <w:marRight w:val="0"/>
                                                                                          <w:marTop w:val="0"/>
                                                                                          <w:marBottom w:val="0"/>
                                                                                          <w:divBdr>
                                                                                            <w:top w:val="none" w:sz="0" w:space="0" w:color="auto"/>
                                                                                            <w:left w:val="none" w:sz="0" w:space="0" w:color="auto"/>
                                                                                            <w:bottom w:val="none" w:sz="0" w:space="0" w:color="auto"/>
                                                                                            <w:right w:val="none" w:sz="0" w:space="0" w:color="auto"/>
                                                                                          </w:divBdr>
                                                                                          <w:divsChild>
                                                                                            <w:div w:id="1033187797">
                                                                                              <w:marLeft w:val="0"/>
                                                                                              <w:marRight w:val="0"/>
                                                                                              <w:marTop w:val="0"/>
                                                                                              <w:marBottom w:val="0"/>
                                                                                              <w:divBdr>
                                                                                                <w:top w:val="none" w:sz="0" w:space="0" w:color="auto"/>
                                                                                                <w:left w:val="none" w:sz="0" w:space="0" w:color="auto"/>
                                                                                                <w:bottom w:val="none" w:sz="0" w:space="0" w:color="auto"/>
                                                                                                <w:right w:val="none" w:sz="0" w:space="0" w:color="auto"/>
                                                                                              </w:divBdr>
                                                                                              <w:divsChild>
                                                                                                <w:div w:id="22364012">
                                                                                                  <w:marLeft w:val="0"/>
                                                                                                  <w:marRight w:val="0"/>
                                                                                                  <w:marTop w:val="15"/>
                                                                                                  <w:marBottom w:val="0"/>
                                                                                                  <w:divBdr>
                                                                                                    <w:top w:val="none" w:sz="0" w:space="0" w:color="auto"/>
                                                                                                    <w:left w:val="none" w:sz="0" w:space="0" w:color="auto"/>
                                                                                                    <w:bottom w:val="single" w:sz="6" w:space="15" w:color="auto"/>
                                                                                                    <w:right w:val="none" w:sz="0" w:space="0" w:color="auto"/>
                                                                                                  </w:divBdr>
                                                                                                  <w:divsChild>
                                                                                                    <w:div w:id="10954735">
                                                                                                      <w:marLeft w:val="900"/>
                                                                                                      <w:marRight w:val="0"/>
                                                                                                      <w:marTop w:val="180"/>
                                                                                                      <w:marBottom w:val="0"/>
                                                                                                      <w:divBdr>
                                                                                                        <w:top w:val="none" w:sz="0" w:space="0" w:color="auto"/>
                                                                                                        <w:left w:val="none" w:sz="0" w:space="0" w:color="auto"/>
                                                                                                        <w:bottom w:val="none" w:sz="0" w:space="0" w:color="auto"/>
                                                                                                        <w:right w:val="none" w:sz="0" w:space="0" w:color="auto"/>
                                                                                                      </w:divBdr>
                                                                                                      <w:divsChild>
                                                                                                        <w:div w:id="1755324311">
                                                                                                          <w:marLeft w:val="0"/>
                                                                                                          <w:marRight w:val="0"/>
                                                                                                          <w:marTop w:val="0"/>
                                                                                                          <w:marBottom w:val="0"/>
                                                                                                          <w:divBdr>
                                                                                                            <w:top w:val="none" w:sz="0" w:space="0" w:color="auto"/>
                                                                                                            <w:left w:val="none" w:sz="0" w:space="0" w:color="auto"/>
                                                                                                            <w:bottom w:val="none" w:sz="0" w:space="0" w:color="auto"/>
                                                                                                            <w:right w:val="none" w:sz="0" w:space="0" w:color="auto"/>
                                                                                                          </w:divBdr>
                                                                                                          <w:divsChild>
                                                                                                            <w:div w:id="1279919901">
                                                                                                              <w:marLeft w:val="0"/>
                                                                                                              <w:marRight w:val="0"/>
                                                                                                              <w:marTop w:val="0"/>
                                                                                                              <w:marBottom w:val="0"/>
                                                                                                              <w:divBdr>
                                                                                                                <w:top w:val="none" w:sz="0" w:space="0" w:color="auto"/>
                                                                                                                <w:left w:val="none" w:sz="0" w:space="0" w:color="auto"/>
                                                                                                                <w:bottom w:val="none" w:sz="0" w:space="0" w:color="auto"/>
                                                                                                                <w:right w:val="none" w:sz="0" w:space="0" w:color="auto"/>
                                                                                                              </w:divBdr>
                                                                                                              <w:divsChild>
                                                                                                                <w:div w:id="1441685693">
                                                                                                                  <w:marLeft w:val="0"/>
                                                                                                                  <w:marRight w:val="0"/>
                                                                                                                  <w:marTop w:val="30"/>
                                                                                                                  <w:marBottom w:val="0"/>
                                                                                                                  <w:divBdr>
                                                                                                                    <w:top w:val="none" w:sz="0" w:space="0" w:color="auto"/>
                                                                                                                    <w:left w:val="none" w:sz="0" w:space="0" w:color="auto"/>
                                                                                                                    <w:bottom w:val="none" w:sz="0" w:space="0" w:color="auto"/>
                                                                                                                    <w:right w:val="none" w:sz="0" w:space="0" w:color="auto"/>
                                                                                                                  </w:divBdr>
                                                                                                                  <w:divsChild>
                                                                                                                    <w:div w:id="1456294272">
                                                                                                                      <w:marLeft w:val="0"/>
                                                                                                                      <w:marRight w:val="0"/>
                                                                                                                      <w:marTop w:val="0"/>
                                                                                                                      <w:marBottom w:val="0"/>
                                                                                                                      <w:divBdr>
                                                                                                                        <w:top w:val="none" w:sz="0" w:space="0" w:color="auto"/>
                                                                                                                        <w:left w:val="none" w:sz="0" w:space="0" w:color="auto"/>
                                                                                                                        <w:bottom w:val="none" w:sz="0" w:space="0" w:color="auto"/>
                                                                                                                        <w:right w:val="none" w:sz="0" w:space="0" w:color="auto"/>
                                                                                                                      </w:divBdr>
                                                                                                                      <w:divsChild>
                                                                                                                        <w:div w:id="626856967">
                                                                                                                          <w:marLeft w:val="0"/>
                                                                                                                          <w:marRight w:val="0"/>
                                                                                                                          <w:marTop w:val="0"/>
                                                                                                                          <w:marBottom w:val="0"/>
                                                                                                                          <w:divBdr>
                                                                                                                            <w:top w:val="none" w:sz="0" w:space="0" w:color="auto"/>
                                                                                                                            <w:left w:val="none" w:sz="0" w:space="0" w:color="auto"/>
                                                                                                                            <w:bottom w:val="none" w:sz="0" w:space="0" w:color="auto"/>
                                                                                                                            <w:right w:val="none" w:sz="0" w:space="0" w:color="auto"/>
                                                                                                                          </w:divBdr>
                                                                                                                          <w:divsChild>
                                                                                                                            <w:div w:id="1310591161">
                                                                                                                              <w:marLeft w:val="0"/>
                                                                                                                              <w:marRight w:val="0"/>
                                                                                                                              <w:marTop w:val="0"/>
                                                                                                                              <w:marBottom w:val="0"/>
                                                                                                                              <w:divBdr>
                                                                                                                                <w:top w:val="none" w:sz="0" w:space="0" w:color="auto"/>
                                                                                                                                <w:left w:val="none" w:sz="0" w:space="0" w:color="auto"/>
                                                                                                                                <w:bottom w:val="none" w:sz="0" w:space="0" w:color="auto"/>
                                                                                                                                <w:right w:val="none" w:sz="0" w:space="0" w:color="auto"/>
                                                                                                                              </w:divBdr>
                                                                                                                              <w:divsChild>
                                                                                                                                <w:div w:id="32794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epa.gov/eg/dental-effluent-guidelines" TargetMode="External"/><Relationship Id="rId18" Type="http://schemas.openxmlformats.org/officeDocument/2006/relationships/hyperlink" Target="https://www.federalregister.gov/documents/2017/06/14/2017-12338/effluent-limitations-guidelines-and-standards-for-the-dental-category"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epa.gov/sites/production/files/2016-12/documents/dental-elg_final_fact-sheet_12-2016.pdf" TargetMode="External"/><Relationship Id="rId2" Type="http://schemas.openxmlformats.org/officeDocument/2006/relationships/customXml" Target="../customXml/item2.xml"/><Relationship Id="rId16" Type="http://schemas.openxmlformats.org/officeDocument/2006/relationships/hyperlink" Target="https://www.federalregister.gov/d/2017-12338/p-29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www.ada.org/en/member-center/oral-health-topics/amalgam-separator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jpe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duy.vu@cedarhilltx.com" TargetMode="External"/><Relationship Id="rId1" Type="http://schemas.openxmlformats.org/officeDocument/2006/relationships/hyperlink" Target="mailto:pretreatment@trinityra.org"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Flow">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scene3d>
            <a:camera prst="orthographicFront">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This packet was prepared by the Trinity River Authority (TRA) to help new dental dischargers understand the Dental Rule published by the Environmental Protection Agency (EPA) on June 14, 2017. The TRA operates the regional wastewater treatment plant and the [Insert name of TRA contracting party] is a contracting party of TRA. The TRA is the Control Authority for purposes regarding this Dental Rule. The rule is in effect July 14, 2017. This packet provides a summary of the Dental Rule. For more information, please visit the EPA website on this topic. This packet is meant to provide guidance and be a short checklist for the dental discharger. This packet also demonstrates the American Dental Association’s support of removal and recycling of dental amalgam that contains mercury from the wastewater discharged to POTWs. The final rule contains two best management practices recommended by the ADA.</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dlc_DocId xmlns="657afeb2-e7a4-45b1-92db-142bd6f10f92">36DFQ4PQF7XN-1604204968-316</_dlc_DocId>
    <_dlc_DocIdUrl xmlns="657afeb2-e7a4-45b1-92db-142bd6f10f92">
      <Url>https://trinityra.sharepoint.com/sites/NRegion/PRET/_layouts/15/DocIdRedir.aspx?ID=36DFQ4PQF7XN-1604204968-316</Url>
      <Description>36DFQ4PQF7XN-1604204968-316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0F8278617EDE4A4A801DF02F3A369A0B" ma:contentTypeVersion="4" ma:contentTypeDescription="Create a new document." ma:contentTypeScope="" ma:versionID="f97506d0bdb25c41e7ed9f24c0f025e2">
  <xsd:schema xmlns:xsd="http://www.w3.org/2001/XMLSchema" xmlns:xs="http://www.w3.org/2001/XMLSchema" xmlns:p="http://schemas.microsoft.com/office/2006/metadata/properties" xmlns:ns2="657afeb2-e7a4-45b1-92db-142bd6f10f92" xmlns:ns3="7ba75026-f98d-4fe0-a684-98c99e809c68" targetNamespace="http://schemas.microsoft.com/office/2006/metadata/properties" ma:root="true" ma:fieldsID="e65a2a87425a12f028b47e21761fc769" ns2:_="" ns3:_="">
    <xsd:import namespace="657afeb2-e7a4-45b1-92db-142bd6f10f92"/>
    <xsd:import namespace="7ba75026-f98d-4fe0-a684-98c99e809c68"/>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afeb2-e7a4-45b1-92db-142bd6f10f9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a75026-f98d-4fe0-a684-98c99e809c68"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42ED92B-B49E-4A14-88B8-25503E23542C}">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elements/1.1/"/>
    <ds:schemaRef ds:uri="7ba75026-f98d-4fe0-a684-98c99e809c68"/>
    <ds:schemaRef ds:uri="657afeb2-e7a4-45b1-92db-142bd6f10f92"/>
    <ds:schemaRef ds:uri="http://purl.org/dc/dcmitype/"/>
  </ds:schemaRefs>
</ds:datastoreItem>
</file>

<file path=customXml/itemProps3.xml><?xml version="1.0" encoding="utf-8"?>
<ds:datastoreItem xmlns:ds="http://schemas.openxmlformats.org/officeDocument/2006/customXml" ds:itemID="{B0E50EB6-FCA4-4CCC-BC29-DEEECF6173CD}">
  <ds:schemaRefs>
    <ds:schemaRef ds:uri="http://schemas.microsoft.com/sharepoint/v3/contenttype/forms"/>
  </ds:schemaRefs>
</ds:datastoreItem>
</file>

<file path=customXml/itemProps4.xml><?xml version="1.0" encoding="utf-8"?>
<ds:datastoreItem xmlns:ds="http://schemas.openxmlformats.org/officeDocument/2006/customXml" ds:itemID="{71E481D8-0FD3-423D-9F4A-0DB1F5F3E924}">
  <ds:schemaRefs>
    <ds:schemaRef ds:uri="http://schemas.microsoft.com/sharepoint/events"/>
  </ds:schemaRefs>
</ds:datastoreItem>
</file>

<file path=customXml/itemProps5.xml><?xml version="1.0" encoding="utf-8"?>
<ds:datastoreItem xmlns:ds="http://schemas.openxmlformats.org/officeDocument/2006/customXml" ds:itemID="{611401F9-34D6-4E09-A9A8-B4FD0622BA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7afeb2-e7a4-45b1-92db-142bd6f10f92"/>
    <ds:schemaRef ds:uri="7ba75026-f98d-4fe0-a684-98c99e809c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2A79CF7-5EA7-4F66-9231-C57733547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925</Words>
  <Characters>5275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Dental Rule (EPA)</vt:lpstr>
    </vt:vector>
  </TitlesOfParts>
  <Company>Microsoft</Company>
  <LinksUpToDate>false</LinksUpToDate>
  <CharactersWithSpaces>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Dental Rule (EPA)</dc:title>
  <dc:creator>Caitlin Ruff</dc:creator>
  <cp:lastModifiedBy>Vu, Duy</cp:lastModifiedBy>
  <cp:revision>2</cp:revision>
  <cp:lastPrinted>2017-07-07T17:31:00Z</cp:lastPrinted>
  <dcterms:created xsi:type="dcterms:W3CDTF">2018-05-11T13:21:00Z</dcterms:created>
  <dcterms:modified xsi:type="dcterms:W3CDTF">2018-05-11T13:21:00Z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0x0101000F8278617EDE4A4A801DF02F3A369A0B</vt:lpwstr>
  </property>
  <property fmtid="{D5CDD505-2E9C-101B-9397-08002B2CF9AE}" pid="3" name="_dlc_DocIdItemGuid">
    <vt:lpwstr>c3221ed2-58e9-4e8c-be01-2a1e3ee21291</vt:lpwstr>
  </property>
</Properties>
</file>